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09F5ED" w14:textId="3F129D42" w:rsidR="006B22DC" w:rsidRPr="006B22DC" w:rsidRDefault="006B22DC" w:rsidP="006B22DC">
      <w:pPr>
        <w:spacing w:after="0" w:line="240" w:lineRule="auto"/>
        <w:rPr>
          <w:rFonts w:ascii="Arial" w:eastAsia="Times New Roman" w:hAnsi="Arial" w:cs="Arial"/>
          <w:color w:val="333333"/>
          <w:kern w:val="0"/>
          <w:sz w:val="24"/>
          <w:szCs w:val="24"/>
          <w14:ligatures w14:val="none"/>
        </w:rPr>
      </w:pPr>
      <w:r w:rsidRPr="006B22DC">
        <w:rPr>
          <w:rFonts w:ascii="Arial" w:eastAsia="Times New Roman" w:hAnsi="Arial" w:cs="Arial"/>
          <w:noProof/>
          <w:color w:val="333333"/>
          <w:kern w:val="0"/>
          <w:sz w:val="24"/>
          <w:szCs w:val="24"/>
          <w14:ligatures w14:val="none"/>
        </w:rPr>
        <w:drawing>
          <wp:inline distT="0" distB="0" distL="0" distR="0" wp14:anchorId="082AA7D9" wp14:editId="7A3ADBE3">
            <wp:extent cx="2276475" cy="676275"/>
            <wp:effectExtent l="0" t="0" r="9525" b="9525"/>
            <wp:docPr id="1498524643" name="Picture 2" descr="Logo for Dept of industrial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Dept of industrial relation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76475" cy="676275"/>
                    </a:xfrm>
                    <a:prstGeom prst="rect">
                      <a:avLst/>
                    </a:prstGeom>
                    <a:noFill/>
                    <a:ln>
                      <a:noFill/>
                    </a:ln>
                  </pic:spPr>
                </pic:pic>
              </a:graphicData>
            </a:graphic>
          </wp:inline>
        </w:drawing>
      </w:r>
      <w:r w:rsidRPr="006B22DC">
        <w:rPr>
          <w:rFonts w:ascii="Arial" w:eastAsia="Times New Roman" w:hAnsi="Arial" w:cs="Arial"/>
          <w:noProof/>
          <w:color w:val="333333"/>
          <w:kern w:val="0"/>
          <w:sz w:val="24"/>
          <w:szCs w:val="24"/>
          <w14:ligatures w14:val="none"/>
        </w:rPr>
        <w:drawing>
          <wp:inline distT="0" distB="0" distL="0" distR="0" wp14:anchorId="6775F729" wp14:editId="7B1D2E1D">
            <wp:extent cx="933450" cy="933450"/>
            <wp:effectExtent l="0" t="0" r="0" b="0"/>
            <wp:docPr id="1804053230" name="Picture 1" descr="California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lifornia state se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14:paraId="6D2C69E0" w14:textId="77777777" w:rsidR="006B22DC" w:rsidRPr="006B22DC" w:rsidRDefault="006B22DC" w:rsidP="006B22DC">
      <w:pPr>
        <w:spacing w:after="75" w:line="240" w:lineRule="auto"/>
        <w:jc w:val="center"/>
        <w:rPr>
          <w:rFonts w:ascii="M PLUS Rounded 1c" w:eastAsia="Times New Roman" w:hAnsi="M PLUS Rounded 1c" w:cs="Times New Roman"/>
          <w:b/>
          <w:bCs/>
          <w:color w:val="444444"/>
          <w:spacing w:val="180"/>
          <w:kern w:val="0"/>
          <w:sz w:val="42"/>
          <w:szCs w:val="42"/>
          <w14:ligatures w14:val="none"/>
        </w:rPr>
      </w:pPr>
      <w:r w:rsidRPr="006B22DC">
        <w:rPr>
          <w:rFonts w:ascii="M PLUS Rounded 1c" w:eastAsia="Times New Roman" w:hAnsi="M PLUS Rounded 1c" w:cs="Times New Roman"/>
          <w:b/>
          <w:bCs/>
          <w:color w:val="444444"/>
          <w:spacing w:val="180"/>
          <w:kern w:val="0"/>
          <w:sz w:val="42"/>
          <w:szCs w:val="42"/>
          <w14:ligatures w14:val="none"/>
        </w:rPr>
        <w:t>NEWSLINE</w:t>
      </w:r>
    </w:p>
    <w:p w14:paraId="5BE69BFA" w14:textId="77777777" w:rsidR="006B22DC" w:rsidRPr="006B22DC" w:rsidRDefault="006B22DC" w:rsidP="006B22DC">
      <w:pPr>
        <w:spacing w:after="0" w:line="240" w:lineRule="auto"/>
        <w:rPr>
          <w:rFonts w:ascii="Arial" w:eastAsia="Times New Roman" w:hAnsi="Arial" w:cs="Arial"/>
          <w:color w:val="333333"/>
          <w:kern w:val="0"/>
          <w:sz w:val="24"/>
          <w:szCs w:val="24"/>
          <w14:ligatures w14:val="none"/>
        </w:rPr>
      </w:pPr>
      <w:r w:rsidRPr="006B22DC">
        <w:rPr>
          <w:rFonts w:ascii="Arial" w:eastAsia="Times New Roman" w:hAnsi="Arial" w:cs="Arial"/>
          <w:b/>
          <w:bCs/>
          <w:color w:val="333333"/>
          <w:kern w:val="0"/>
          <w:sz w:val="24"/>
          <w:szCs w:val="24"/>
          <w14:ligatures w14:val="none"/>
        </w:rPr>
        <w:t>Release Number:</w:t>
      </w:r>
      <w:r w:rsidRPr="006B22DC">
        <w:rPr>
          <w:rFonts w:ascii="Arial" w:eastAsia="Times New Roman" w:hAnsi="Arial" w:cs="Arial"/>
          <w:color w:val="333333"/>
          <w:kern w:val="0"/>
          <w:sz w:val="24"/>
          <w:szCs w:val="24"/>
          <w14:ligatures w14:val="none"/>
        </w:rPr>
        <w:t> 2024-42</w:t>
      </w:r>
    </w:p>
    <w:p w14:paraId="38FAAB59" w14:textId="77777777" w:rsidR="006B22DC" w:rsidRPr="006B22DC" w:rsidRDefault="006B22DC" w:rsidP="006B22DC">
      <w:pPr>
        <w:spacing w:line="240" w:lineRule="auto"/>
        <w:rPr>
          <w:rFonts w:ascii="Arial" w:eastAsia="Times New Roman" w:hAnsi="Arial" w:cs="Arial"/>
          <w:color w:val="333333"/>
          <w:kern w:val="0"/>
          <w:sz w:val="24"/>
          <w:szCs w:val="24"/>
          <w14:ligatures w14:val="none"/>
        </w:rPr>
      </w:pPr>
      <w:r w:rsidRPr="006B22DC">
        <w:rPr>
          <w:rFonts w:ascii="Arial" w:eastAsia="Times New Roman" w:hAnsi="Arial" w:cs="Arial"/>
          <w:b/>
          <w:bCs/>
          <w:color w:val="333333"/>
          <w:kern w:val="0"/>
          <w:sz w:val="24"/>
          <w:szCs w:val="24"/>
          <w14:ligatures w14:val="none"/>
        </w:rPr>
        <w:t>Date:</w:t>
      </w:r>
      <w:r w:rsidRPr="006B22DC">
        <w:rPr>
          <w:rFonts w:ascii="Arial" w:eastAsia="Times New Roman" w:hAnsi="Arial" w:cs="Arial"/>
          <w:color w:val="333333"/>
          <w:kern w:val="0"/>
          <w:sz w:val="24"/>
          <w:szCs w:val="24"/>
          <w14:ligatures w14:val="none"/>
        </w:rPr>
        <w:t> June 7, 2024</w:t>
      </w:r>
    </w:p>
    <w:p w14:paraId="038C53E5" w14:textId="77777777" w:rsidR="006B22DC" w:rsidRPr="006B22DC" w:rsidRDefault="006B22DC" w:rsidP="006B22DC">
      <w:pPr>
        <w:spacing w:before="375" w:after="255" w:line="240" w:lineRule="auto"/>
        <w:outlineLvl w:val="0"/>
        <w:rPr>
          <w:rFonts w:ascii="Roboto" w:eastAsia="Times New Roman" w:hAnsi="Roboto" w:cs="Times New Roman"/>
          <w:color w:val="333333"/>
          <w:kern w:val="36"/>
          <w:sz w:val="33"/>
          <w:szCs w:val="33"/>
          <w14:ligatures w14:val="none"/>
        </w:rPr>
      </w:pPr>
      <w:r w:rsidRPr="006B22DC">
        <w:rPr>
          <w:rFonts w:ascii="Roboto" w:eastAsia="Times New Roman" w:hAnsi="Roboto" w:cs="Times New Roman"/>
          <w:color w:val="333333"/>
          <w:kern w:val="36"/>
          <w:sz w:val="33"/>
          <w:szCs w:val="33"/>
          <w14:ligatures w14:val="none"/>
        </w:rPr>
        <w:t>DWC Issues Notice of Public Hearing on July 25 for Utilization Review Regulations</w:t>
      </w:r>
    </w:p>
    <w:p w14:paraId="397B3482" w14:textId="77777777" w:rsidR="006B22DC" w:rsidRPr="006B22DC" w:rsidRDefault="006B22DC" w:rsidP="006B22DC">
      <w:pPr>
        <w:spacing w:before="150" w:after="225" w:line="240" w:lineRule="auto"/>
        <w:rPr>
          <w:rFonts w:ascii="Arial" w:eastAsia="Times New Roman" w:hAnsi="Arial" w:cs="Arial"/>
          <w:color w:val="333333"/>
          <w:kern w:val="0"/>
          <w:sz w:val="24"/>
          <w:szCs w:val="24"/>
          <w14:ligatures w14:val="none"/>
        </w:rPr>
      </w:pPr>
      <w:r w:rsidRPr="006B22DC">
        <w:rPr>
          <w:rFonts w:ascii="Arial" w:eastAsia="Times New Roman" w:hAnsi="Arial" w:cs="Arial"/>
          <w:color w:val="333333"/>
          <w:kern w:val="0"/>
          <w:sz w:val="24"/>
          <w:szCs w:val="24"/>
          <w14:ligatures w14:val="none"/>
        </w:rPr>
        <w:t>The Division of Workers’ Compensation (DWC) has issued a </w:t>
      </w:r>
      <w:hyperlink r:id="rId6" w:history="1">
        <w:r w:rsidRPr="006B22DC">
          <w:rPr>
            <w:rFonts w:ascii="Arial" w:eastAsia="Times New Roman" w:hAnsi="Arial" w:cs="Arial"/>
            <w:color w:val="046B99"/>
            <w:kern w:val="0"/>
            <w:sz w:val="24"/>
            <w:szCs w:val="24"/>
            <w:u w:val="single"/>
            <w14:ligatures w14:val="none"/>
          </w:rPr>
          <w:t>notice of public hearing</w:t>
        </w:r>
      </w:hyperlink>
      <w:r w:rsidRPr="006B22DC">
        <w:rPr>
          <w:rFonts w:ascii="Arial" w:eastAsia="Times New Roman" w:hAnsi="Arial" w:cs="Arial"/>
          <w:color w:val="333333"/>
          <w:kern w:val="0"/>
          <w:sz w:val="24"/>
          <w:szCs w:val="24"/>
          <w14:ligatures w14:val="none"/>
        </w:rPr>
        <w:t> for regulations concerning the utilization review (UR) procedures under Labor Code section 4610. Additional regulatory changes related to physician reporting and coordination of care requirements are also included.</w:t>
      </w:r>
    </w:p>
    <w:p w14:paraId="469A4188" w14:textId="77777777" w:rsidR="006B22DC" w:rsidRPr="006B22DC" w:rsidRDefault="006B22DC" w:rsidP="006B22DC">
      <w:pPr>
        <w:spacing w:before="150" w:after="225" w:line="240" w:lineRule="auto"/>
        <w:rPr>
          <w:rFonts w:ascii="Arial" w:eastAsia="Times New Roman" w:hAnsi="Arial" w:cs="Arial"/>
          <w:color w:val="333333"/>
          <w:kern w:val="0"/>
          <w:sz w:val="24"/>
          <w:szCs w:val="24"/>
          <w14:ligatures w14:val="none"/>
        </w:rPr>
      </w:pPr>
      <w:r w:rsidRPr="006B22DC">
        <w:rPr>
          <w:rFonts w:ascii="Arial" w:eastAsia="Times New Roman" w:hAnsi="Arial" w:cs="Arial"/>
          <w:color w:val="333333"/>
          <w:kern w:val="0"/>
          <w:sz w:val="24"/>
          <w:szCs w:val="24"/>
          <w14:ligatures w14:val="none"/>
        </w:rPr>
        <w:t>The proposed rulemaking primarily implements exemptions to prospective UR created under Senate Bill 1160 (for treatment rendered within the first 30 days from the initial date of injury) and Assembly Bill 1124 (for drugs listed as exempt on the drug formulary). Additionally, the proposal implements the statutory accreditation requirement and DWC’s oversight of UR plans, which includes extensive changes to UR enforcement rules; makes changes to improve or fix issues related to coordination of medical treatment; and would add a physician reporting form, the PR-1, which combines other reports (the Form RFA and the PR-2) to centralize reporting duties of a treating physician.</w:t>
      </w:r>
    </w:p>
    <w:p w14:paraId="26D0E43C" w14:textId="77777777" w:rsidR="006B22DC" w:rsidRPr="006B22DC" w:rsidRDefault="006B22DC" w:rsidP="006B22DC">
      <w:pPr>
        <w:spacing w:before="150" w:after="225" w:line="240" w:lineRule="auto"/>
        <w:rPr>
          <w:rFonts w:ascii="Arial" w:eastAsia="Times New Roman" w:hAnsi="Arial" w:cs="Arial"/>
          <w:color w:val="333333"/>
          <w:kern w:val="0"/>
          <w:sz w:val="24"/>
          <w:szCs w:val="24"/>
          <w14:ligatures w14:val="none"/>
        </w:rPr>
      </w:pPr>
      <w:r w:rsidRPr="006B22DC">
        <w:rPr>
          <w:rFonts w:ascii="Arial" w:eastAsia="Times New Roman" w:hAnsi="Arial" w:cs="Arial"/>
          <w:color w:val="333333"/>
          <w:kern w:val="0"/>
          <w:sz w:val="24"/>
          <w:szCs w:val="24"/>
          <w14:ligatures w14:val="none"/>
        </w:rPr>
        <w:t>Implementation of these regulations is anticipated to harmonize regulations with statutory changes from SB 1160 and AB 1124, and fix system inefficiencies with respect to the delivery of medical treatment.</w:t>
      </w:r>
    </w:p>
    <w:p w14:paraId="36D0A5DE" w14:textId="77777777" w:rsidR="006B22DC" w:rsidRPr="006B22DC" w:rsidRDefault="006B22DC" w:rsidP="006B22DC">
      <w:pPr>
        <w:spacing w:before="150" w:after="225" w:line="240" w:lineRule="auto"/>
        <w:rPr>
          <w:rFonts w:ascii="Arial" w:eastAsia="Times New Roman" w:hAnsi="Arial" w:cs="Arial"/>
          <w:color w:val="333333"/>
          <w:kern w:val="0"/>
          <w:sz w:val="24"/>
          <w:szCs w:val="24"/>
          <w14:ligatures w14:val="none"/>
        </w:rPr>
      </w:pPr>
      <w:r w:rsidRPr="006B22DC">
        <w:rPr>
          <w:rFonts w:ascii="Arial" w:eastAsia="Times New Roman" w:hAnsi="Arial" w:cs="Arial"/>
          <w:color w:val="333333"/>
          <w:kern w:val="0"/>
          <w:sz w:val="24"/>
          <w:szCs w:val="24"/>
          <w14:ligatures w14:val="none"/>
        </w:rPr>
        <w:t>Members of the public may attend the in-person public hearing on Thursday, July 25, 2024, at 11 a.m. at the:</w:t>
      </w:r>
    </w:p>
    <w:p w14:paraId="7D7807D7" w14:textId="77777777" w:rsidR="006B22DC" w:rsidRPr="006B22DC" w:rsidRDefault="006B22DC" w:rsidP="006B22DC">
      <w:pPr>
        <w:spacing w:after="0" w:line="240" w:lineRule="auto"/>
        <w:rPr>
          <w:rFonts w:ascii="Arial" w:eastAsia="Times New Roman" w:hAnsi="Arial" w:cs="Arial"/>
          <w:color w:val="333333"/>
          <w:kern w:val="0"/>
          <w:sz w:val="24"/>
          <w:szCs w:val="24"/>
          <w14:ligatures w14:val="none"/>
        </w:rPr>
      </w:pPr>
      <w:r w:rsidRPr="006B22DC">
        <w:rPr>
          <w:rFonts w:ascii="Arial" w:eastAsia="Times New Roman" w:hAnsi="Arial" w:cs="Arial"/>
          <w:b/>
          <w:bCs/>
          <w:color w:val="333333"/>
          <w:kern w:val="0"/>
          <w:sz w:val="24"/>
          <w:szCs w:val="24"/>
          <w14:ligatures w14:val="none"/>
        </w:rPr>
        <w:t>Elihu Harris State Office Building – Auditorium</w:t>
      </w:r>
      <w:r w:rsidRPr="006B22DC">
        <w:rPr>
          <w:rFonts w:ascii="Arial" w:eastAsia="Times New Roman" w:hAnsi="Arial" w:cs="Arial"/>
          <w:color w:val="333333"/>
          <w:kern w:val="0"/>
          <w:sz w:val="24"/>
          <w:szCs w:val="24"/>
          <w14:ligatures w14:val="none"/>
        </w:rPr>
        <w:br/>
      </w:r>
      <w:r w:rsidRPr="006B22DC">
        <w:rPr>
          <w:rFonts w:ascii="Arial" w:eastAsia="Times New Roman" w:hAnsi="Arial" w:cs="Arial"/>
          <w:b/>
          <w:bCs/>
          <w:color w:val="333333"/>
          <w:kern w:val="0"/>
          <w:sz w:val="24"/>
          <w:szCs w:val="24"/>
          <w14:ligatures w14:val="none"/>
        </w:rPr>
        <w:t>1515 Clay Street</w:t>
      </w:r>
      <w:r w:rsidRPr="006B22DC">
        <w:rPr>
          <w:rFonts w:ascii="Arial" w:eastAsia="Times New Roman" w:hAnsi="Arial" w:cs="Arial"/>
          <w:color w:val="333333"/>
          <w:kern w:val="0"/>
          <w:sz w:val="24"/>
          <w:szCs w:val="24"/>
          <w14:ligatures w14:val="none"/>
        </w:rPr>
        <w:br/>
      </w:r>
      <w:r w:rsidRPr="006B22DC">
        <w:rPr>
          <w:rFonts w:ascii="Arial" w:eastAsia="Times New Roman" w:hAnsi="Arial" w:cs="Arial"/>
          <w:b/>
          <w:bCs/>
          <w:color w:val="333333"/>
          <w:kern w:val="0"/>
          <w:sz w:val="24"/>
          <w:szCs w:val="24"/>
          <w14:ligatures w14:val="none"/>
        </w:rPr>
        <w:t>Oakland, CA 94612</w:t>
      </w:r>
    </w:p>
    <w:p w14:paraId="00D1CD47" w14:textId="77777777" w:rsidR="006B22DC" w:rsidRPr="006B22DC" w:rsidRDefault="006B22DC" w:rsidP="006B22DC">
      <w:pPr>
        <w:spacing w:before="150" w:after="225" w:line="240" w:lineRule="auto"/>
        <w:rPr>
          <w:rFonts w:ascii="Arial" w:eastAsia="Times New Roman" w:hAnsi="Arial" w:cs="Arial"/>
          <w:color w:val="333333"/>
          <w:kern w:val="0"/>
          <w:sz w:val="24"/>
          <w:szCs w:val="24"/>
          <w14:ligatures w14:val="none"/>
        </w:rPr>
      </w:pPr>
      <w:r w:rsidRPr="006B22DC">
        <w:rPr>
          <w:rFonts w:ascii="Arial" w:eastAsia="Times New Roman" w:hAnsi="Arial" w:cs="Arial"/>
          <w:color w:val="333333"/>
          <w:kern w:val="0"/>
          <w:sz w:val="24"/>
          <w:szCs w:val="24"/>
          <w14:ligatures w14:val="none"/>
        </w:rPr>
        <w:t xml:space="preserve">Written public comments can be submitted via US mail, facsimile transmission (FAX) or by email until the end of the day on Thursday, July 25, </w:t>
      </w:r>
      <w:proofErr w:type="gramStart"/>
      <w:r w:rsidRPr="006B22DC">
        <w:rPr>
          <w:rFonts w:ascii="Arial" w:eastAsia="Times New Roman" w:hAnsi="Arial" w:cs="Arial"/>
          <w:color w:val="333333"/>
          <w:kern w:val="0"/>
          <w:sz w:val="24"/>
          <w:szCs w:val="24"/>
          <w14:ligatures w14:val="none"/>
        </w:rPr>
        <w:t>2024</w:t>
      </w:r>
      <w:proofErr w:type="gramEnd"/>
      <w:r w:rsidRPr="006B22DC">
        <w:rPr>
          <w:rFonts w:ascii="Arial" w:eastAsia="Times New Roman" w:hAnsi="Arial" w:cs="Arial"/>
          <w:color w:val="333333"/>
          <w:kern w:val="0"/>
          <w:sz w:val="24"/>
          <w:szCs w:val="24"/>
          <w14:ligatures w14:val="none"/>
        </w:rPr>
        <w:t xml:space="preserve"> to the attention of:</w:t>
      </w:r>
    </w:p>
    <w:p w14:paraId="0BBCCE2D" w14:textId="77777777" w:rsidR="006B22DC" w:rsidRPr="006B22DC" w:rsidRDefault="006B22DC" w:rsidP="006B22DC">
      <w:pPr>
        <w:spacing w:before="150" w:after="225" w:line="240" w:lineRule="auto"/>
        <w:rPr>
          <w:rFonts w:ascii="Arial" w:eastAsia="Times New Roman" w:hAnsi="Arial" w:cs="Arial"/>
          <w:color w:val="333333"/>
          <w:kern w:val="0"/>
          <w:sz w:val="24"/>
          <w:szCs w:val="24"/>
          <w14:ligatures w14:val="none"/>
        </w:rPr>
      </w:pPr>
      <w:r w:rsidRPr="006B22DC">
        <w:rPr>
          <w:rFonts w:ascii="Arial" w:eastAsia="Times New Roman" w:hAnsi="Arial" w:cs="Arial"/>
          <w:color w:val="333333"/>
          <w:kern w:val="0"/>
          <w:sz w:val="24"/>
          <w:szCs w:val="24"/>
          <w14:ligatures w14:val="none"/>
        </w:rPr>
        <w:t>Maureen Gray, Regulations Coordinator</w:t>
      </w:r>
      <w:r w:rsidRPr="006B22DC">
        <w:rPr>
          <w:rFonts w:ascii="Arial" w:eastAsia="Times New Roman" w:hAnsi="Arial" w:cs="Arial"/>
          <w:color w:val="333333"/>
          <w:kern w:val="0"/>
          <w:sz w:val="24"/>
          <w:szCs w:val="24"/>
          <w14:ligatures w14:val="none"/>
        </w:rPr>
        <w:br/>
        <w:t>Department of Industrial Relations</w:t>
      </w:r>
      <w:r w:rsidRPr="006B22DC">
        <w:rPr>
          <w:rFonts w:ascii="Arial" w:eastAsia="Times New Roman" w:hAnsi="Arial" w:cs="Arial"/>
          <w:color w:val="333333"/>
          <w:kern w:val="0"/>
          <w:sz w:val="24"/>
          <w:szCs w:val="24"/>
          <w14:ligatures w14:val="none"/>
        </w:rPr>
        <w:br/>
        <w:t>P.O. Box 420603</w:t>
      </w:r>
      <w:r w:rsidRPr="006B22DC">
        <w:rPr>
          <w:rFonts w:ascii="Arial" w:eastAsia="Times New Roman" w:hAnsi="Arial" w:cs="Arial"/>
          <w:color w:val="333333"/>
          <w:kern w:val="0"/>
          <w:sz w:val="24"/>
          <w:szCs w:val="24"/>
          <w14:ligatures w14:val="none"/>
        </w:rPr>
        <w:br/>
        <w:t>San Francisco, CA 94142</w:t>
      </w:r>
      <w:r w:rsidRPr="006B22DC">
        <w:rPr>
          <w:rFonts w:ascii="Arial" w:eastAsia="Times New Roman" w:hAnsi="Arial" w:cs="Arial"/>
          <w:color w:val="333333"/>
          <w:kern w:val="0"/>
          <w:sz w:val="24"/>
          <w:szCs w:val="24"/>
          <w14:ligatures w14:val="none"/>
        </w:rPr>
        <w:br/>
      </w:r>
      <w:r w:rsidRPr="006B22DC">
        <w:rPr>
          <w:rFonts w:ascii="Arial" w:eastAsia="Times New Roman" w:hAnsi="Arial" w:cs="Arial"/>
          <w:color w:val="333333"/>
          <w:kern w:val="0"/>
          <w:sz w:val="24"/>
          <w:szCs w:val="24"/>
          <w14:ligatures w14:val="none"/>
        </w:rPr>
        <w:lastRenderedPageBreak/>
        <w:t>Fax: (510) 286-0687</w:t>
      </w:r>
      <w:r w:rsidRPr="006B22DC">
        <w:rPr>
          <w:rFonts w:ascii="Arial" w:eastAsia="Times New Roman" w:hAnsi="Arial" w:cs="Arial"/>
          <w:color w:val="333333"/>
          <w:kern w:val="0"/>
          <w:sz w:val="24"/>
          <w:szCs w:val="24"/>
          <w14:ligatures w14:val="none"/>
        </w:rPr>
        <w:br/>
        <w:t>Email: </w:t>
      </w:r>
      <w:hyperlink r:id="rId7" w:history="1">
        <w:r w:rsidRPr="006B22DC">
          <w:rPr>
            <w:rFonts w:ascii="Arial" w:eastAsia="Times New Roman" w:hAnsi="Arial" w:cs="Arial"/>
            <w:color w:val="046B99"/>
            <w:kern w:val="0"/>
            <w:sz w:val="24"/>
            <w:szCs w:val="24"/>
            <w:u w:val="single"/>
            <w14:ligatures w14:val="none"/>
          </w:rPr>
          <w:t>dwcrules@dir.ca.gov</w:t>
        </w:r>
      </w:hyperlink>
    </w:p>
    <w:p w14:paraId="653E3C5C" w14:textId="77777777" w:rsidR="006B22DC" w:rsidRPr="006B22DC" w:rsidRDefault="006B22DC" w:rsidP="006B22DC">
      <w:pPr>
        <w:spacing w:before="150" w:after="225" w:line="240" w:lineRule="auto"/>
        <w:rPr>
          <w:rFonts w:ascii="Arial" w:eastAsia="Times New Roman" w:hAnsi="Arial" w:cs="Arial"/>
          <w:color w:val="333333"/>
          <w:kern w:val="0"/>
          <w:sz w:val="24"/>
          <w:szCs w:val="24"/>
          <w14:ligatures w14:val="none"/>
        </w:rPr>
      </w:pPr>
      <w:r w:rsidRPr="006B22DC">
        <w:rPr>
          <w:rFonts w:ascii="Arial" w:eastAsia="Times New Roman" w:hAnsi="Arial" w:cs="Arial"/>
          <w:color w:val="333333"/>
          <w:kern w:val="0"/>
          <w:sz w:val="24"/>
          <w:szCs w:val="24"/>
          <w14:ligatures w14:val="none"/>
        </w:rPr>
        <w:t>DWC will consider all public comments. The notice of rulemaking, text of the regulations, and the initial statement of reasons can be found on </w:t>
      </w:r>
      <w:hyperlink r:id="rId8" w:history="1">
        <w:r w:rsidRPr="006B22DC">
          <w:rPr>
            <w:rFonts w:ascii="Arial" w:eastAsia="Times New Roman" w:hAnsi="Arial" w:cs="Arial"/>
            <w:color w:val="046B99"/>
            <w:kern w:val="0"/>
            <w:sz w:val="24"/>
            <w:szCs w:val="24"/>
            <w:u w:val="single"/>
            <w14:ligatures w14:val="none"/>
          </w:rPr>
          <w:t>the DIR website</w:t>
        </w:r>
      </w:hyperlink>
      <w:r w:rsidRPr="006B22DC">
        <w:rPr>
          <w:rFonts w:ascii="Arial" w:eastAsia="Times New Roman" w:hAnsi="Arial" w:cs="Arial"/>
          <w:color w:val="333333"/>
          <w:kern w:val="0"/>
          <w:sz w:val="24"/>
          <w:szCs w:val="24"/>
          <w14:ligatures w14:val="none"/>
        </w:rPr>
        <w:t>.</w:t>
      </w:r>
    </w:p>
    <w:p w14:paraId="1F9E7A9D" w14:textId="77777777" w:rsidR="006B22DC" w:rsidRPr="006B22DC" w:rsidRDefault="006B22DC" w:rsidP="006B22DC">
      <w:pPr>
        <w:spacing w:after="0" w:line="240" w:lineRule="auto"/>
        <w:rPr>
          <w:rFonts w:ascii="Arial" w:eastAsia="Times New Roman" w:hAnsi="Arial" w:cs="Arial"/>
          <w:kern w:val="0"/>
          <w:sz w:val="24"/>
          <w:szCs w:val="24"/>
          <w14:ligatures w14:val="none"/>
        </w:rPr>
      </w:pPr>
      <w:r w:rsidRPr="006B22DC">
        <w:rPr>
          <w:rFonts w:ascii="Times New Roman" w:eastAsia="Times New Roman" w:hAnsi="Times New Roman" w:cs="Times New Roman"/>
          <w:kern w:val="0"/>
          <w:sz w:val="24"/>
          <w:szCs w:val="24"/>
          <w14:ligatures w14:val="none"/>
        </w:rPr>
        <w:pict w14:anchorId="3397DD1A">
          <v:rect id="_x0000_i1027" style="width:0;height:.75pt" o:hralign="center" o:hrstd="t" o:hrnoshade="t" o:hr="t" fillcolor="#333" stroked="f"/>
        </w:pict>
      </w:r>
    </w:p>
    <w:p w14:paraId="1DD2AB75" w14:textId="77777777" w:rsidR="006B22DC" w:rsidRPr="006B22DC" w:rsidRDefault="006B22DC" w:rsidP="006B22DC">
      <w:pPr>
        <w:spacing w:before="150" w:after="225" w:line="240" w:lineRule="auto"/>
        <w:rPr>
          <w:rFonts w:ascii="Times New Roman" w:eastAsia="Times New Roman" w:hAnsi="Times New Roman" w:cs="Times New Roman"/>
          <w:kern w:val="0"/>
          <w:sz w:val="24"/>
          <w:szCs w:val="24"/>
          <w14:ligatures w14:val="none"/>
        </w:rPr>
      </w:pPr>
      <w:r w:rsidRPr="006B22DC">
        <w:rPr>
          <w:rFonts w:ascii="Times New Roman" w:eastAsia="Times New Roman" w:hAnsi="Times New Roman" w:cs="Times New Roman"/>
          <w:kern w:val="0"/>
          <w:sz w:val="24"/>
          <w:szCs w:val="24"/>
          <w14:ligatures w14:val="none"/>
        </w:rPr>
        <w:t>The </w:t>
      </w:r>
      <w:hyperlink r:id="rId9" w:history="1">
        <w:r w:rsidRPr="006B22DC">
          <w:rPr>
            <w:rFonts w:ascii="Times New Roman" w:eastAsia="Times New Roman" w:hAnsi="Times New Roman" w:cs="Times New Roman"/>
            <w:color w:val="046B99"/>
            <w:kern w:val="0"/>
            <w:sz w:val="24"/>
            <w:szCs w:val="24"/>
            <w:u w:val="single"/>
            <w14:ligatures w14:val="none"/>
          </w:rPr>
          <w:t>California Department of Industrial Relations</w:t>
        </w:r>
      </w:hyperlink>
      <w:r w:rsidRPr="006B22DC">
        <w:rPr>
          <w:rFonts w:ascii="Times New Roman" w:eastAsia="Times New Roman" w:hAnsi="Times New Roman" w:cs="Times New Roman"/>
          <w:kern w:val="0"/>
          <w:sz w:val="24"/>
          <w:szCs w:val="24"/>
          <w14:ligatures w14:val="none"/>
        </w:rPr>
        <w:t>, established in 1927, protects and improves the health, safety, and economic well-being of over 18 million wage earners, and helps their employers comply with state labor laws. DIR is housed within the </w:t>
      </w:r>
      <w:hyperlink r:id="rId10" w:history="1">
        <w:r w:rsidRPr="006B22DC">
          <w:rPr>
            <w:rFonts w:ascii="Times New Roman" w:eastAsia="Times New Roman" w:hAnsi="Times New Roman" w:cs="Times New Roman"/>
            <w:color w:val="046B99"/>
            <w:kern w:val="0"/>
            <w:sz w:val="24"/>
            <w:szCs w:val="24"/>
            <w:u w:val="single"/>
            <w14:ligatures w14:val="none"/>
          </w:rPr>
          <w:t>Labor &amp; Workforce Development Agency</w:t>
        </w:r>
      </w:hyperlink>
    </w:p>
    <w:p w14:paraId="4897E3E4" w14:textId="77777777" w:rsidR="00D26DF4" w:rsidRDefault="00D26DF4"/>
    <w:sectPr w:rsidR="00D26D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 PLUS Rounded 1c">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2DC"/>
    <w:rsid w:val="003D7C61"/>
    <w:rsid w:val="006B22DC"/>
    <w:rsid w:val="00D26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CF579"/>
  <w15:chartTrackingRefBased/>
  <w15:docId w15:val="{FB439DBC-E76B-4FC6-8D27-103EDC4EE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22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22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22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22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22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22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22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22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22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2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22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22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22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22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22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2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2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2DC"/>
    <w:rPr>
      <w:rFonts w:eastAsiaTheme="majorEastAsia" w:cstheme="majorBidi"/>
      <w:color w:val="272727" w:themeColor="text1" w:themeTint="D8"/>
    </w:rPr>
  </w:style>
  <w:style w:type="paragraph" w:styleId="Title">
    <w:name w:val="Title"/>
    <w:basedOn w:val="Normal"/>
    <w:next w:val="Normal"/>
    <w:link w:val="TitleChar"/>
    <w:uiPriority w:val="10"/>
    <w:qFormat/>
    <w:rsid w:val="006B22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2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2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2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22DC"/>
    <w:pPr>
      <w:spacing w:before="160"/>
      <w:jc w:val="center"/>
    </w:pPr>
    <w:rPr>
      <w:i/>
      <w:iCs/>
      <w:color w:val="404040" w:themeColor="text1" w:themeTint="BF"/>
    </w:rPr>
  </w:style>
  <w:style w:type="character" w:customStyle="1" w:styleId="QuoteChar">
    <w:name w:val="Quote Char"/>
    <w:basedOn w:val="DefaultParagraphFont"/>
    <w:link w:val="Quote"/>
    <w:uiPriority w:val="29"/>
    <w:rsid w:val="006B22DC"/>
    <w:rPr>
      <w:i/>
      <w:iCs/>
      <w:color w:val="404040" w:themeColor="text1" w:themeTint="BF"/>
    </w:rPr>
  </w:style>
  <w:style w:type="paragraph" w:styleId="ListParagraph">
    <w:name w:val="List Paragraph"/>
    <w:basedOn w:val="Normal"/>
    <w:uiPriority w:val="34"/>
    <w:qFormat/>
    <w:rsid w:val="006B22DC"/>
    <w:pPr>
      <w:ind w:left="720"/>
      <w:contextualSpacing/>
    </w:pPr>
  </w:style>
  <w:style w:type="character" w:styleId="IntenseEmphasis">
    <w:name w:val="Intense Emphasis"/>
    <w:basedOn w:val="DefaultParagraphFont"/>
    <w:uiPriority w:val="21"/>
    <w:qFormat/>
    <w:rsid w:val="006B22DC"/>
    <w:rPr>
      <w:i/>
      <w:iCs/>
      <w:color w:val="0F4761" w:themeColor="accent1" w:themeShade="BF"/>
    </w:rPr>
  </w:style>
  <w:style w:type="paragraph" w:styleId="IntenseQuote">
    <w:name w:val="Intense Quote"/>
    <w:basedOn w:val="Normal"/>
    <w:next w:val="Normal"/>
    <w:link w:val="IntenseQuoteChar"/>
    <w:uiPriority w:val="30"/>
    <w:qFormat/>
    <w:rsid w:val="006B22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22DC"/>
    <w:rPr>
      <w:i/>
      <w:iCs/>
      <w:color w:val="0F4761" w:themeColor="accent1" w:themeShade="BF"/>
    </w:rPr>
  </w:style>
  <w:style w:type="character" w:styleId="IntenseReference">
    <w:name w:val="Intense Reference"/>
    <w:basedOn w:val="DefaultParagraphFont"/>
    <w:uiPriority w:val="32"/>
    <w:qFormat/>
    <w:rsid w:val="006B22DC"/>
    <w:rPr>
      <w:b/>
      <w:bCs/>
      <w:smallCaps/>
      <w:color w:val="0F4761" w:themeColor="accent1" w:themeShade="BF"/>
      <w:spacing w:val="5"/>
    </w:rPr>
  </w:style>
  <w:style w:type="character" w:styleId="Strong">
    <w:name w:val="Strong"/>
    <w:basedOn w:val="DefaultParagraphFont"/>
    <w:uiPriority w:val="22"/>
    <w:qFormat/>
    <w:rsid w:val="006B22DC"/>
    <w:rPr>
      <w:b/>
      <w:bCs/>
    </w:rPr>
  </w:style>
  <w:style w:type="character" w:customStyle="1" w:styleId="hf-value">
    <w:name w:val="hf-value"/>
    <w:basedOn w:val="DefaultParagraphFont"/>
    <w:rsid w:val="006B22DC"/>
  </w:style>
  <w:style w:type="paragraph" w:styleId="NormalWeb">
    <w:name w:val="Normal (Web)"/>
    <w:basedOn w:val="Normal"/>
    <w:uiPriority w:val="99"/>
    <w:semiHidden/>
    <w:unhideWhenUsed/>
    <w:rsid w:val="006B22D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6B22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571638">
      <w:bodyDiv w:val="1"/>
      <w:marLeft w:val="0"/>
      <w:marRight w:val="0"/>
      <w:marTop w:val="0"/>
      <w:marBottom w:val="0"/>
      <w:divBdr>
        <w:top w:val="none" w:sz="0" w:space="0" w:color="auto"/>
        <w:left w:val="none" w:sz="0" w:space="0" w:color="auto"/>
        <w:bottom w:val="none" w:sz="0" w:space="0" w:color="auto"/>
        <w:right w:val="none" w:sz="0" w:space="0" w:color="auto"/>
      </w:divBdr>
      <w:divsChild>
        <w:div w:id="1758011848">
          <w:marLeft w:val="0"/>
          <w:marRight w:val="0"/>
          <w:marTop w:val="0"/>
          <w:marBottom w:val="0"/>
          <w:divBdr>
            <w:top w:val="none" w:sz="0" w:space="0" w:color="auto"/>
            <w:left w:val="none" w:sz="0" w:space="0" w:color="auto"/>
            <w:bottom w:val="none" w:sz="0" w:space="0" w:color="auto"/>
            <w:right w:val="none" w:sz="0" w:space="0" w:color="auto"/>
          </w:divBdr>
        </w:div>
        <w:div w:id="117915097">
          <w:marLeft w:val="0"/>
          <w:marRight w:val="0"/>
          <w:marTop w:val="150"/>
          <w:marBottom w:val="75"/>
          <w:divBdr>
            <w:top w:val="none" w:sz="0" w:space="0" w:color="auto"/>
            <w:left w:val="none" w:sz="0" w:space="0" w:color="auto"/>
            <w:bottom w:val="none" w:sz="0" w:space="0" w:color="auto"/>
            <w:right w:val="none" w:sz="0" w:space="0" w:color="auto"/>
          </w:divBdr>
        </w:div>
        <w:div w:id="563104117">
          <w:marLeft w:val="0"/>
          <w:marRight w:val="0"/>
          <w:marTop w:val="0"/>
          <w:marBottom w:val="525"/>
          <w:divBdr>
            <w:top w:val="none" w:sz="0" w:space="0" w:color="auto"/>
            <w:left w:val="none" w:sz="0" w:space="0" w:color="auto"/>
            <w:bottom w:val="none" w:sz="0" w:space="0" w:color="auto"/>
            <w:right w:val="none" w:sz="0" w:space="0" w:color="auto"/>
          </w:divBdr>
          <w:divsChild>
            <w:div w:id="1301811777">
              <w:marLeft w:val="0"/>
              <w:marRight w:val="0"/>
              <w:marTop w:val="0"/>
              <w:marBottom w:val="0"/>
              <w:divBdr>
                <w:top w:val="none" w:sz="0" w:space="0" w:color="auto"/>
                <w:left w:val="none" w:sz="0" w:space="0" w:color="auto"/>
                <w:bottom w:val="none" w:sz="0" w:space="0" w:color="auto"/>
                <w:right w:val="none" w:sz="0" w:space="0" w:color="auto"/>
              </w:divBdr>
            </w:div>
            <w:div w:id="1229728448">
              <w:marLeft w:val="0"/>
              <w:marRight w:val="0"/>
              <w:marTop w:val="0"/>
              <w:marBottom w:val="0"/>
              <w:divBdr>
                <w:top w:val="none" w:sz="0" w:space="0" w:color="auto"/>
                <w:left w:val="none" w:sz="0" w:space="0" w:color="auto"/>
                <w:bottom w:val="none" w:sz="0" w:space="0" w:color="auto"/>
                <w:right w:val="none" w:sz="0" w:space="0" w:color="auto"/>
              </w:divBdr>
            </w:div>
          </w:divsChild>
        </w:div>
        <w:div w:id="483742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r.ca.gov/dwc/DWCPropRegs/2024/Utilization-Review/Index.htm" TargetMode="External"/><Relationship Id="rId3" Type="http://schemas.openxmlformats.org/officeDocument/2006/relationships/webSettings" Target="webSettings.xml"/><Relationship Id="rId7" Type="http://schemas.openxmlformats.org/officeDocument/2006/relationships/hyperlink" Target="mailto:dwcrules@dir.ca.go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ir.ca.gov/dwc/DWCPropRegs/2024/Utilization-Review/Index.htm" TargetMode="External"/><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s://www.labor.ca.gov/" TargetMode="External"/><Relationship Id="rId4" Type="http://schemas.openxmlformats.org/officeDocument/2006/relationships/image" Target="media/image1.png"/><Relationship Id="rId9" Type="http://schemas.openxmlformats.org/officeDocument/2006/relationships/hyperlink" Target="https://www.dir.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386</Words>
  <Characters>2205</Characters>
  <Application>Microsoft Office Word</Application>
  <DocSecurity>0</DocSecurity>
  <Lines>18</Lines>
  <Paragraphs>5</Paragraphs>
  <ScaleCrop>false</ScaleCrop>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P. Swedlow</dc:creator>
  <cp:keywords/>
  <dc:description/>
  <cp:lastModifiedBy>Joanne P. Swedlow</cp:lastModifiedBy>
  <cp:revision>1</cp:revision>
  <dcterms:created xsi:type="dcterms:W3CDTF">2024-06-10T17:46:00Z</dcterms:created>
  <dcterms:modified xsi:type="dcterms:W3CDTF">2024-06-10T17:48:00Z</dcterms:modified>
</cp:coreProperties>
</file>