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578E" w14:textId="77777777" w:rsidR="0056561D" w:rsidRPr="00A801EE" w:rsidRDefault="00786084" w:rsidP="00786084">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14:paraId="61CFC62A"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14:paraId="7AF22274"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14:paraId="3620BD3E"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14:paraId="2108CC2A" w14:textId="77777777" w:rsidR="009442FF" w:rsidRPr="00A801EE" w:rsidRDefault="009442FF" w:rsidP="0056561D">
      <w:pPr>
        <w:spacing w:after="0" w:line="240" w:lineRule="auto"/>
        <w:jc w:val="center"/>
        <w:rPr>
          <w:rFonts w:ascii="Arial" w:hAnsi="Arial" w:cs="Arial"/>
          <w:b/>
          <w:sz w:val="24"/>
          <w:szCs w:val="24"/>
        </w:rPr>
      </w:pPr>
    </w:p>
    <w:p w14:paraId="698D3C86"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REGARDING THE CALIFORNIA LABOR CODE</w:t>
      </w:r>
    </w:p>
    <w:p w14:paraId="6A57D5A4"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TITLE 8, CALIFORNIA CODE OF REGULATIONS</w:t>
      </w:r>
    </w:p>
    <w:p w14:paraId="46ABE32C"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14:paraId="4B36ECB8"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14:paraId="1524319A" w14:textId="77777777" w:rsidR="008A5F11" w:rsidRDefault="008A5F11" w:rsidP="0056561D">
      <w:pPr>
        <w:spacing w:after="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997926">
        <w:rPr>
          <w:rFonts w:ascii="Arial" w:hAnsi="Arial" w:cs="Arial"/>
          <w:b/>
          <w:sz w:val="24"/>
          <w:szCs w:val="24"/>
        </w:rPr>
        <w:t>4</w:t>
      </w:r>
      <w:r>
        <w:rPr>
          <w:rFonts w:ascii="Arial" w:hAnsi="Arial" w:cs="Arial"/>
          <w:b/>
          <w:sz w:val="24"/>
          <w:szCs w:val="24"/>
        </w:rPr>
        <w:t>, PRACTICE PARAMETERS</w:t>
      </w:r>
    </w:p>
    <w:p w14:paraId="288FA3DC" w14:textId="77777777" w:rsidR="008A5F11" w:rsidRPr="00A801EE" w:rsidRDefault="001B2404" w:rsidP="008A5F11">
      <w:pPr>
        <w:jc w:val="center"/>
        <w:rPr>
          <w:rFonts w:ascii="Arial" w:hAnsi="Arial" w:cs="Arial"/>
          <w:sz w:val="24"/>
          <w:szCs w:val="24"/>
        </w:rPr>
      </w:pPr>
      <w:r>
        <w:rPr>
          <w:rFonts w:ascii="Arial" w:hAnsi="Arial" w:cs="Arial"/>
          <w:b/>
          <w:sz w:val="24"/>
          <w:szCs w:val="24"/>
        </w:rPr>
        <w:t xml:space="preserve">Section </w:t>
      </w:r>
      <w:r w:rsidR="00E649A8">
        <w:rPr>
          <w:rFonts w:ascii="Arial" w:hAnsi="Arial" w:cs="Arial"/>
          <w:b/>
          <w:sz w:val="24"/>
          <w:szCs w:val="24"/>
        </w:rPr>
        <w:t>46.</w:t>
      </w:r>
      <w:r w:rsidR="008B56EC">
        <w:rPr>
          <w:rFonts w:ascii="Arial" w:hAnsi="Arial" w:cs="Arial"/>
          <w:b/>
          <w:sz w:val="24"/>
          <w:szCs w:val="24"/>
        </w:rPr>
        <w:t>3</w:t>
      </w:r>
      <w:r w:rsidR="008A5F11">
        <w:rPr>
          <w:rFonts w:ascii="Arial" w:hAnsi="Arial" w:cs="Arial"/>
          <w:b/>
          <w:sz w:val="24"/>
          <w:szCs w:val="24"/>
        </w:rPr>
        <w:t xml:space="preserve"> </w:t>
      </w:r>
      <w:r>
        <w:rPr>
          <w:rFonts w:ascii="Arial" w:eastAsia="Times New Roman" w:hAnsi="Arial" w:cs="Arial"/>
          <w:b/>
          <w:color w:val="000000"/>
          <w:sz w:val="24"/>
          <w:szCs w:val="24"/>
        </w:rPr>
        <w:t>QME</w:t>
      </w:r>
      <w:r w:rsidRPr="008A5F11">
        <w:rPr>
          <w:rFonts w:ascii="Arial" w:eastAsia="Times New Roman" w:hAnsi="Arial" w:cs="Arial"/>
          <w:b/>
          <w:color w:val="000000"/>
          <w:sz w:val="24"/>
          <w:szCs w:val="24"/>
        </w:rPr>
        <w:t xml:space="preserve"> </w:t>
      </w:r>
      <w:r w:rsidR="008A5F11" w:rsidRPr="008A5F11">
        <w:rPr>
          <w:rFonts w:ascii="Arial" w:eastAsia="Times New Roman" w:hAnsi="Arial" w:cs="Arial"/>
          <w:b/>
          <w:color w:val="000000"/>
          <w:sz w:val="24"/>
          <w:szCs w:val="24"/>
        </w:rPr>
        <w:t xml:space="preserve">Emergency Regulation in Response to </w:t>
      </w:r>
      <w:r w:rsidR="003840A5">
        <w:rPr>
          <w:rFonts w:ascii="Arial" w:eastAsia="Times New Roman" w:hAnsi="Arial" w:cs="Arial"/>
          <w:b/>
          <w:color w:val="000000"/>
          <w:sz w:val="24"/>
          <w:szCs w:val="24"/>
        </w:rPr>
        <w:t>COVID</w:t>
      </w:r>
      <w:r w:rsidR="008A5F11" w:rsidRPr="008A5F11">
        <w:rPr>
          <w:rFonts w:ascii="Arial" w:eastAsia="Times New Roman" w:hAnsi="Arial" w:cs="Arial"/>
          <w:b/>
          <w:color w:val="000000"/>
          <w:sz w:val="24"/>
          <w:szCs w:val="24"/>
        </w:rPr>
        <w:t>-19</w:t>
      </w:r>
      <w:r w:rsidR="008A5F11" w:rsidRPr="008A5F11">
        <w:rPr>
          <w:rFonts w:ascii="Arial" w:hAnsi="Arial" w:cs="Arial"/>
          <w:b/>
          <w:sz w:val="24"/>
          <w:szCs w:val="24"/>
        </w:rPr>
        <w:t>.</w:t>
      </w:r>
    </w:p>
    <w:p w14:paraId="298DEA44"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44610726"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595C0B7A" w14:textId="77777777"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14:paraId="3B313CE2"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6AF983B7" w14:textId="77777777" w:rsidR="00B33186" w:rsidRPr="00B33186" w:rsidRDefault="00B33186" w:rsidP="005448AD">
      <w:pPr>
        <w:numPr>
          <w:ilvl w:val="0"/>
          <w:numId w:val="20"/>
        </w:numPr>
        <w:rPr>
          <w:rFonts w:ascii="Arial" w:hAnsi="Arial" w:cs="Arial"/>
          <w:sz w:val="24"/>
          <w:szCs w:val="24"/>
        </w:rPr>
      </w:pPr>
      <w:r w:rsidRPr="00B33186">
        <w:rPr>
          <w:rFonts w:ascii="Arial" w:hAnsi="Arial" w:cs="Arial"/>
          <w:sz w:val="24"/>
          <w:szCs w:val="24"/>
        </w:rPr>
        <w:t>The emergence of unexpected and unpredictable COVID-19 variants, such as the Delta and the burgeoning Omicron variants, is clearly demonstrating that the ongoing pandemic is not subsiding but remains a serious threat to public health</w:t>
      </w:r>
      <w:r>
        <w:rPr>
          <w:rFonts w:ascii="Arial" w:hAnsi="Arial" w:cs="Arial"/>
          <w:sz w:val="24"/>
          <w:szCs w:val="24"/>
        </w:rPr>
        <w:t xml:space="preserve"> therefore action is necessary to reduce </w:t>
      </w:r>
      <w:r w:rsidR="002C188A">
        <w:rPr>
          <w:rFonts w:ascii="Arial" w:hAnsi="Arial" w:cs="Arial"/>
          <w:sz w:val="24"/>
          <w:szCs w:val="24"/>
        </w:rPr>
        <w:t>exposure to the virus</w:t>
      </w:r>
      <w:r w:rsidRPr="00B33186">
        <w:rPr>
          <w:rFonts w:ascii="Arial" w:hAnsi="Arial" w:cs="Arial"/>
          <w:sz w:val="24"/>
          <w:szCs w:val="24"/>
        </w:rPr>
        <w:t xml:space="preserve">. </w:t>
      </w:r>
    </w:p>
    <w:p w14:paraId="013EE69D" w14:textId="77777777" w:rsidR="005448AD" w:rsidRPr="003C6F83"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 xml:space="preserve">ability of </w:t>
      </w:r>
      <w:r w:rsidR="00676B2D">
        <w:rPr>
          <w:rFonts w:ascii="Arial" w:hAnsi="Arial" w:cs="Arial"/>
          <w:sz w:val="24"/>
          <w:szCs w:val="24"/>
        </w:rPr>
        <w:t xml:space="preserve">physicians </w:t>
      </w:r>
      <w:r w:rsidR="005D26DC" w:rsidRPr="003840A5">
        <w:rPr>
          <w:rFonts w:ascii="Arial" w:hAnsi="Arial" w:cs="Arial"/>
          <w:sz w:val="24"/>
          <w:szCs w:val="24"/>
        </w:rPr>
        <w:t>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w:t>
      </w:r>
      <w:r w:rsidR="00676B2D">
        <w:rPr>
          <w:rFonts w:ascii="Arial" w:hAnsi="Arial" w:cs="Arial"/>
          <w:sz w:val="24"/>
          <w:szCs w:val="24"/>
        </w:rPr>
        <w:t xml:space="preserve">provide telehealth medical-legal evaluations </w:t>
      </w:r>
      <w:r w:rsidR="005D26DC" w:rsidRPr="003D61FF">
        <w:rPr>
          <w:rFonts w:ascii="Arial" w:hAnsi="Arial" w:cs="Arial"/>
          <w:sz w:val="24"/>
          <w:szCs w:val="24"/>
        </w:rPr>
        <w:t>during the</w:t>
      </w:r>
      <w:r w:rsidR="00E649A8">
        <w:rPr>
          <w:rFonts w:ascii="Arial" w:hAnsi="Arial" w:cs="Arial"/>
          <w:sz w:val="24"/>
          <w:szCs w:val="24"/>
        </w:rPr>
        <w:t xml:space="preserve"> COVID-19 medical crisis</w:t>
      </w:r>
      <w:r w:rsidR="005D26DC" w:rsidRPr="003D61FF">
        <w:rPr>
          <w:rFonts w:ascii="Arial" w:hAnsi="Arial" w:cs="Arial"/>
          <w:sz w:val="24"/>
          <w:szCs w:val="24"/>
        </w:rPr>
        <w:t xml:space="preserve">. </w:t>
      </w:r>
    </w:p>
    <w:p w14:paraId="6521D47F" w14:textId="77777777"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in order to allow injured workers and physician flexibility with evaluation locations given various regional restrictions. </w:t>
      </w:r>
    </w:p>
    <w:p w14:paraId="5DE20692" w14:textId="77777777"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14:paraId="4322ECB3"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2DDF6AD1" w14:textId="77777777"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w:t>
      </w:r>
      <w:r w:rsidRPr="003D61FF">
        <w:rPr>
          <w:rFonts w:ascii="Arial" w:hAnsi="Arial" w:cs="Arial"/>
          <w:sz w:val="24"/>
          <w:szCs w:val="24"/>
        </w:rPr>
        <w:lastRenderedPageBreak/>
        <w:t xml:space="preserve">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possible during the</w:t>
      </w:r>
      <w:r w:rsidR="00997926">
        <w:rPr>
          <w:rFonts w:ascii="Arial" w:hAnsi="Arial" w:cs="Arial"/>
          <w:sz w:val="24"/>
          <w:szCs w:val="24"/>
        </w:rPr>
        <w:t xml:space="preserve"> COVID-19 medical crisis</w:t>
      </w:r>
      <w:r w:rsidRPr="003D61FF">
        <w:rPr>
          <w:rFonts w:ascii="Arial" w:hAnsi="Arial" w:cs="Arial"/>
          <w:sz w:val="24"/>
          <w:szCs w:val="24"/>
        </w:rPr>
        <w:t>.</w:t>
      </w:r>
    </w:p>
    <w:p w14:paraId="6F119AF5" w14:textId="77777777"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t>During</w:t>
      </w:r>
      <w:r w:rsidR="00997926">
        <w:rPr>
          <w:rFonts w:ascii="Arial" w:hAnsi="Arial" w:cs="Arial"/>
          <w:sz w:val="24"/>
          <w:szCs w:val="24"/>
        </w:rPr>
        <w:t xml:space="preserve"> the COVID-19 medical crisis</w:t>
      </w:r>
      <w:r w:rsidRPr="003D61FF">
        <w:rPr>
          <w:rFonts w:ascii="Arial" w:hAnsi="Arial" w:cs="Arial"/>
          <w:sz w:val="24"/>
          <w:szCs w:val="24"/>
        </w:rPr>
        <w:t xml:space="preserve"> the use of telehealth or telemedicine has been proposed as an effective means of providing continued healthcare and observing social distancing</w:t>
      </w:r>
      <w:r w:rsidR="00997926">
        <w:rPr>
          <w:rFonts w:ascii="Arial" w:hAnsi="Arial" w:cs="Arial"/>
          <w:sz w:val="24"/>
          <w:szCs w:val="24"/>
        </w:rPr>
        <w:t xml:space="preserve"> as well as limiting exposure to the virus</w:t>
      </w:r>
      <w:r w:rsidRPr="003D61FF">
        <w:rPr>
          <w:rFonts w:ascii="Arial" w:hAnsi="Arial" w:cs="Arial"/>
          <w:sz w:val="24"/>
          <w:szCs w:val="24"/>
        </w:rPr>
        <w:t>.</w:t>
      </w:r>
    </w:p>
    <w:p w14:paraId="11728A57" w14:textId="77777777"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 xml:space="preserve">It is possible that certain qualified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Pr="003840A5">
        <w:rPr>
          <w:rFonts w:ascii="Arial" w:hAnsi="Arial" w:cs="Arial"/>
          <w:sz w:val="24"/>
          <w:szCs w:val="24"/>
        </w:rPr>
        <w:t>these evaluations</w:t>
      </w:r>
      <w:r w:rsidR="003D61FF">
        <w:rPr>
          <w:rFonts w:ascii="Arial" w:hAnsi="Arial" w:cs="Arial"/>
          <w:sz w:val="24"/>
          <w:szCs w:val="24"/>
        </w:rPr>
        <w:t>.</w:t>
      </w:r>
    </w:p>
    <w:p w14:paraId="7231DD48" w14:textId="77777777"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14:paraId="7E02FD67"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53C04823"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14:paraId="129C39F7"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0E6864A4"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55E9ABFD"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0077DC89"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11541C29" w14:textId="77777777"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t>TECHNICAL, THEORETICAL, OR EMPIRICAL STUDIES, REPORTS, OR DOCUMENTS RELIED UPON</w:t>
      </w:r>
    </w:p>
    <w:p w14:paraId="62C900B3" w14:textId="77777777"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lastRenderedPageBreak/>
        <w:t xml:space="preserve">California’s Current Safety Measures and What to do now. August 11, 2021. </w:t>
      </w:r>
      <w:r w:rsidR="003C6F83" w:rsidRPr="00997926">
        <w:rPr>
          <w:rFonts w:ascii="Arial" w:eastAsia="Times New Roman" w:hAnsi="Arial" w:cs="Arial"/>
          <w:color w:val="0563C1"/>
          <w:sz w:val="24"/>
          <w:szCs w:val="24"/>
          <w:u w:val="single"/>
        </w:rPr>
        <w:t>https://covid19.ca.gov/safely-reopening/#what-to-do-now</w:t>
      </w:r>
    </w:p>
    <w:p w14:paraId="542CB405" w14:textId="77777777" w:rsidR="00997926" w:rsidRPr="00997926" w:rsidRDefault="00997926" w:rsidP="003C6F83">
      <w:pPr>
        <w:spacing w:after="0" w:line="240" w:lineRule="auto"/>
        <w:contextualSpacing/>
        <w:rPr>
          <w:rFonts w:ascii="Arial" w:eastAsia="Times New Roman" w:hAnsi="Arial" w:cs="Arial"/>
          <w:sz w:val="24"/>
          <w:szCs w:val="24"/>
        </w:rPr>
      </w:pPr>
    </w:p>
    <w:p w14:paraId="52031602" w14:textId="77777777" w:rsidR="00676B2D" w:rsidRPr="003C6F83"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N-16-21</w:t>
      </w:r>
      <w:r w:rsidRPr="00997926">
        <w:rPr>
          <w:rFonts w:ascii="Arial" w:hAnsi="Arial" w:cs="Arial"/>
          <w:color w:val="000000"/>
          <w:sz w:val="24"/>
          <w:szCs w:val="24"/>
        </w:rPr>
        <w:t xml:space="preserve">, </w:t>
      </w:r>
      <w:r>
        <w:rPr>
          <w:rFonts w:ascii="Arial" w:hAnsi="Arial" w:cs="Arial"/>
          <w:color w:val="000000"/>
          <w:sz w:val="24"/>
          <w:szCs w:val="24"/>
        </w:rPr>
        <w:t>September 27, 2021</w:t>
      </w:r>
    </w:p>
    <w:p w14:paraId="5B701DAC" w14:textId="77777777" w:rsidR="00F737C5" w:rsidRDefault="002128B9" w:rsidP="003C6F83">
      <w:pPr>
        <w:autoSpaceDE w:val="0"/>
        <w:autoSpaceDN w:val="0"/>
        <w:adjustRightInd w:val="0"/>
        <w:spacing w:after="0" w:line="240" w:lineRule="auto"/>
        <w:ind w:left="720"/>
        <w:rPr>
          <w:color w:val="0000FF"/>
          <w:u w:val="single"/>
        </w:rPr>
      </w:pPr>
      <w:hyperlink r:id="rId11" w:history="1">
        <w:r w:rsidR="00F737C5" w:rsidRPr="00883DED">
          <w:rPr>
            <w:rStyle w:val="Hyperlink"/>
          </w:rPr>
          <w:t>https://www.gov.ca.gov/wp-content/uploads/2021/09/9.27.21-Telehealth-EO.pdf</w:t>
        </w:r>
      </w:hyperlink>
    </w:p>
    <w:p w14:paraId="772F2C3E" w14:textId="77777777" w:rsidR="00676B2D" w:rsidRPr="003C6F83"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14:paraId="67C141C7" w14:textId="77777777" w:rsidR="00676B2D"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N-4</w:t>
      </w:r>
      <w:r w:rsidRPr="00997926">
        <w:rPr>
          <w:rFonts w:ascii="Arial" w:hAnsi="Arial" w:cs="Arial"/>
          <w:color w:val="000000"/>
          <w:sz w:val="24"/>
          <w:szCs w:val="24"/>
        </w:rPr>
        <w:t xml:space="preserve">3-20, </w:t>
      </w:r>
      <w:r>
        <w:rPr>
          <w:rFonts w:ascii="Arial" w:hAnsi="Arial" w:cs="Arial"/>
          <w:color w:val="000000"/>
          <w:sz w:val="24"/>
          <w:szCs w:val="24"/>
        </w:rPr>
        <w:t>April 3, 2020</w:t>
      </w:r>
      <w:r w:rsidRPr="00997926">
        <w:rPr>
          <w:rFonts w:ascii="Arial" w:hAnsi="Arial" w:cs="Arial"/>
          <w:color w:val="000000"/>
          <w:sz w:val="24"/>
          <w:szCs w:val="24"/>
        </w:rPr>
        <w:t xml:space="preserve"> </w:t>
      </w:r>
      <w:r w:rsidRPr="00997926">
        <w:rPr>
          <w:rFonts w:ascii="Arial" w:eastAsia="Times New Roman" w:hAnsi="Arial" w:cs="Arial"/>
          <w:color w:val="000000"/>
          <w:sz w:val="24"/>
          <w:szCs w:val="24"/>
        </w:rPr>
        <w:t xml:space="preserve"> </w:t>
      </w:r>
    </w:p>
    <w:p w14:paraId="7C0567D9" w14:textId="77777777" w:rsidR="00F737C5" w:rsidRDefault="002128B9" w:rsidP="003C6F83">
      <w:pPr>
        <w:autoSpaceDE w:val="0"/>
        <w:autoSpaceDN w:val="0"/>
        <w:adjustRightInd w:val="0"/>
        <w:spacing w:after="0" w:line="240" w:lineRule="auto"/>
        <w:ind w:left="720"/>
        <w:rPr>
          <w:color w:val="0000FF"/>
          <w:u w:val="single"/>
        </w:rPr>
      </w:pPr>
      <w:hyperlink r:id="rId12" w:history="1">
        <w:r w:rsidR="00F737C5" w:rsidRPr="00883DED">
          <w:rPr>
            <w:rStyle w:val="Hyperlink"/>
          </w:rPr>
          <w:t>https://www.gov.ca.gov/wp-content/uploads/2020/04/4.3.20-EO-N-43-20.pdf</w:t>
        </w:r>
      </w:hyperlink>
    </w:p>
    <w:p w14:paraId="766DF9FF" w14:textId="77777777"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14:paraId="741CA9BD" w14:textId="77777777"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sidRPr="00997926">
        <w:rPr>
          <w:rFonts w:ascii="Arial" w:hAnsi="Arial" w:cs="Arial"/>
          <w:color w:val="000000"/>
          <w:sz w:val="24"/>
          <w:szCs w:val="24"/>
        </w:rPr>
        <w:t xml:space="preserve"> EXECUTIVE ORDER N-33-20, March 19, 2020 </w:t>
      </w:r>
      <w:r w:rsidRPr="00997926">
        <w:rPr>
          <w:rFonts w:ascii="Arial" w:eastAsia="Times New Roman" w:hAnsi="Arial" w:cs="Arial"/>
          <w:color w:val="000000"/>
          <w:sz w:val="24"/>
          <w:szCs w:val="24"/>
        </w:rPr>
        <w:t xml:space="preserve"> </w:t>
      </w:r>
      <w:hyperlink r:id="rId13" w:history="1">
        <w:r w:rsidRPr="00997926">
          <w:rPr>
            <w:rFonts w:ascii="Arial" w:eastAsia="Times New Roman" w:hAnsi="Arial" w:cs="Arial"/>
            <w:color w:val="0563C1"/>
            <w:sz w:val="24"/>
            <w:szCs w:val="24"/>
            <w:u w:val="single"/>
          </w:rPr>
          <w:t>https://www.gov.ca.gov/wp-content/uploads/2020/03/EO-N-33-20-COVID-19-HEALTH-ORDER-03.19.2020-002.pdf</w:t>
        </w:r>
      </w:hyperlink>
    </w:p>
    <w:p w14:paraId="0AA8AC7A" w14:textId="77777777"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14:paraId="03ED7EB2" w14:textId="77777777" w:rsidR="00997926" w:rsidRPr="00997926" w:rsidRDefault="00997926" w:rsidP="00997926">
      <w:pPr>
        <w:numPr>
          <w:ilvl w:val="0"/>
          <w:numId w:val="25"/>
        </w:numPr>
        <w:rPr>
          <w:rFonts w:ascii="Arial" w:eastAsia="Times New Roman" w:hAnsi="Arial" w:cs="Arial"/>
          <w:sz w:val="24"/>
          <w:szCs w:val="24"/>
        </w:rPr>
      </w:pPr>
      <w:r w:rsidRPr="00997926">
        <w:rPr>
          <w:rFonts w:ascii="Arial" w:eastAsia="Times New Roman" w:hAnsi="Arial" w:cs="Arial"/>
          <w:sz w:val="24"/>
          <w:szCs w:val="24"/>
        </w:rPr>
        <w:t>Centers for Disease Control, web link, “How to Protect Yourself”</w:t>
      </w:r>
      <w:r w:rsidRPr="00997926">
        <w:rPr>
          <w:rFonts w:ascii="Arial" w:hAnsi="Arial" w:cs="Arial"/>
          <w:sz w:val="24"/>
          <w:szCs w:val="24"/>
        </w:rPr>
        <w:t xml:space="preserve"> </w:t>
      </w:r>
      <w:hyperlink r:id="rId14" w:history="1">
        <w:r w:rsidRPr="00997926">
          <w:rPr>
            <w:rFonts w:ascii="Arial" w:eastAsia="Times New Roman" w:hAnsi="Arial" w:cs="Arial"/>
            <w:color w:val="0563C1"/>
            <w:sz w:val="24"/>
            <w:szCs w:val="24"/>
            <w:u w:val="single"/>
          </w:rPr>
          <w:t>https://www.cdc.gov/coronavirus/2019-ncov/prevent-getting-sick/prevention.html</w:t>
        </w:r>
      </w:hyperlink>
    </w:p>
    <w:p w14:paraId="492212E2" w14:textId="77777777" w:rsidR="0056561D" w:rsidRPr="003D61FF" w:rsidRDefault="007D5045" w:rsidP="0056561D">
      <w:pPr>
        <w:rPr>
          <w:rFonts w:ascii="Arial" w:hAnsi="Arial" w:cs="Arial"/>
          <w:b/>
          <w:sz w:val="24"/>
          <w:szCs w:val="24"/>
          <w:u w:val="single"/>
        </w:rPr>
      </w:pPr>
      <w:r w:rsidRPr="003D61FF">
        <w:rPr>
          <w:rFonts w:ascii="Arial" w:hAnsi="Arial" w:cs="Arial"/>
          <w:b/>
          <w:sz w:val="24"/>
          <w:szCs w:val="24"/>
          <w:u w:val="single"/>
        </w:rPr>
        <w:t xml:space="preserve">SUMMARY OF PROPOSED REGULATIONS </w:t>
      </w:r>
    </w:p>
    <w:p w14:paraId="3B3B45FD"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6BF8C53D"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41B39631" w14:textId="77777777"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2195B855"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07CD6940"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6E4B83F4"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lastRenderedPageBreak/>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video-conference,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62122153"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6C954664"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14:paraId="35BA50FB" w14:textId="77777777"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14:paraId="47C18154" w14:textId="77777777"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14:paraId="658B4CAE"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w:t>
      </w:r>
      <w:proofErr w:type="spellStart"/>
      <w:r w:rsidR="00E10C70" w:rsidRPr="009B3132">
        <w:rPr>
          <w:rFonts w:ascii="Arial" w:hAnsi="Arial" w:cs="Arial"/>
          <w:sz w:val="24"/>
          <w:szCs w:val="24"/>
        </w:rPr>
        <w:t>i</w:t>
      </w:r>
      <w:proofErr w:type="spellEnd"/>
      <w:r w:rsidR="00E10C70" w:rsidRPr="009B3132">
        <w:rPr>
          <w:rFonts w:ascii="Arial" w:hAnsi="Arial" w:cs="Arial"/>
          <w:sz w:val="24"/>
          <w:szCs w:val="24"/>
        </w:rPr>
        <w:t xml:space="preserve">)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2C098EE5" w14:textId="77777777"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14:paraId="05BBBF50"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0EA7048E"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386680AC"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4F630C18"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25D3C4BE" w14:textId="77777777" w:rsidR="0056561D" w:rsidRDefault="0056561D" w:rsidP="0056561D">
      <w:pPr>
        <w:rPr>
          <w:rFonts w:ascii="Arial" w:hAnsi="Arial" w:cs="Arial"/>
          <w:sz w:val="24"/>
          <w:szCs w:val="24"/>
        </w:rPr>
      </w:pPr>
      <w:r w:rsidRPr="009B3132">
        <w:rPr>
          <w:rFonts w:ascii="Arial" w:hAnsi="Arial" w:cs="Arial"/>
          <w:sz w:val="24"/>
          <w:szCs w:val="24"/>
        </w:rPr>
        <w:lastRenderedPageBreak/>
        <w:t xml:space="preserve">The Department of Industrial Relations, Division of Workers’ Compensation has determined that this proposed regulatory action would not impose a mandate on local agencies or school districts.  </w:t>
      </w:r>
    </w:p>
    <w:p w14:paraId="482F8690" w14:textId="77777777" w:rsidR="007D0E13" w:rsidRPr="009B3132" w:rsidRDefault="007D0E13" w:rsidP="0056561D">
      <w:pPr>
        <w:rPr>
          <w:rFonts w:ascii="Arial" w:hAnsi="Arial" w:cs="Arial"/>
          <w:sz w:val="24"/>
          <w:szCs w:val="24"/>
        </w:rPr>
      </w:pPr>
    </w:p>
    <w:p w14:paraId="624A1E79"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507FF1D4"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576D451B"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1600F6A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E030FFA" w14:textId="77777777"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1688C336" w14:textId="77777777" w:rsidR="0056561D"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17B5BCD8" w14:textId="77777777" w:rsidR="00AE52DC" w:rsidRDefault="00AE52DC" w:rsidP="0056561D">
      <w:pPr>
        <w:rPr>
          <w:rFonts w:ascii="Arial" w:hAnsi="Arial" w:cs="Arial"/>
          <w:sz w:val="24"/>
          <w:szCs w:val="24"/>
        </w:rPr>
      </w:pPr>
    </w:p>
    <w:p w14:paraId="321A7639" w14:textId="77777777" w:rsidR="00AE52DC" w:rsidRPr="009B3132" w:rsidRDefault="00AE52DC" w:rsidP="0056561D">
      <w:pPr>
        <w:rPr>
          <w:rFonts w:ascii="Arial" w:hAnsi="Arial" w:cs="Arial"/>
          <w:sz w:val="24"/>
          <w:szCs w:val="24"/>
        </w:rPr>
      </w:pPr>
    </w:p>
    <w:p w14:paraId="3C3634AF"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068FFE76"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5D21A306"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6E77F2D2" w14:textId="77777777" w:rsidR="00016F4E" w:rsidRPr="009B3132" w:rsidRDefault="00016F4E" w:rsidP="00016F4E">
      <w:pPr>
        <w:spacing w:after="0" w:line="240" w:lineRule="auto"/>
        <w:rPr>
          <w:rFonts w:ascii="Arial" w:hAnsi="Arial" w:cs="Arial"/>
          <w:sz w:val="24"/>
          <w:szCs w:val="24"/>
        </w:rPr>
      </w:pPr>
    </w:p>
    <w:p w14:paraId="0AAB53BC"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ADEF" w14:textId="77777777" w:rsidR="00AF6EE3" w:rsidRDefault="00AF6EE3" w:rsidP="00A801EE">
      <w:pPr>
        <w:spacing w:after="0" w:line="240" w:lineRule="auto"/>
      </w:pPr>
      <w:r>
        <w:separator/>
      </w:r>
    </w:p>
  </w:endnote>
  <w:endnote w:type="continuationSeparator" w:id="0">
    <w:p w14:paraId="155E8958" w14:textId="77777777" w:rsidR="00AF6EE3" w:rsidRDefault="00AF6EE3"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6543" w14:textId="77777777"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310314">
      <w:t>December</w:t>
    </w:r>
    <w:r w:rsidR="00E649A8">
      <w:t xml:space="preserve"> 2021</w:t>
    </w:r>
    <w:r>
      <w:tab/>
    </w:r>
    <w:r>
      <w:fldChar w:fldCharType="begin"/>
    </w:r>
    <w:r>
      <w:instrText xml:space="preserve"> PAGE   \* MERGEFORMAT </w:instrText>
    </w:r>
    <w:r>
      <w:fldChar w:fldCharType="separate"/>
    </w:r>
    <w:r w:rsidR="00ED77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2B15" w14:textId="77777777" w:rsidR="00AF6EE3" w:rsidRDefault="00AF6EE3" w:rsidP="00A801EE">
      <w:pPr>
        <w:spacing w:after="0" w:line="240" w:lineRule="auto"/>
      </w:pPr>
      <w:r>
        <w:separator/>
      </w:r>
    </w:p>
  </w:footnote>
  <w:footnote w:type="continuationSeparator" w:id="0">
    <w:p w14:paraId="16734E48" w14:textId="77777777" w:rsidR="00AF6EE3" w:rsidRDefault="00AF6EE3"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1D"/>
    <w:rsid w:val="00016F4E"/>
    <w:rsid w:val="00024136"/>
    <w:rsid w:val="0003055C"/>
    <w:rsid w:val="0004185C"/>
    <w:rsid w:val="00054A60"/>
    <w:rsid w:val="00072721"/>
    <w:rsid w:val="000730A4"/>
    <w:rsid w:val="000750EA"/>
    <w:rsid w:val="00075609"/>
    <w:rsid w:val="000A7B1B"/>
    <w:rsid w:val="000C5D3D"/>
    <w:rsid w:val="000E4ADC"/>
    <w:rsid w:val="000F4C28"/>
    <w:rsid w:val="000F6818"/>
    <w:rsid w:val="00125383"/>
    <w:rsid w:val="001A140A"/>
    <w:rsid w:val="001A4CC5"/>
    <w:rsid w:val="001B2404"/>
    <w:rsid w:val="001C1015"/>
    <w:rsid w:val="001F42CB"/>
    <w:rsid w:val="001F7E2B"/>
    <w:rsid w:val="00202852"/>
    <w:rsid w:val="002128B9"/>
    <w:rsid w:val="00214AA6"/>
    <w:rsid w:val="00217D4A"/>
    <w:rsid w:val="002211B1"/>
    <w:rsid w:val="002231A6"/>
    <w:rsid w:val="0022689A"/>
    <w:rsid w:val="002728CC"/>
    <w:rsid w:val="002A2A56"/>
    <w:rsid w:val="002C188A"/>
    <w:rsid w:val="00310314"/>
    <w:rsid w:val="003157EA"/>
    <w:rsid w:val="00331D6E"/>
    <w:rsid w:val="00336D6F"/>
    <w:rsid w:val="00340646"/>
    <w:rsid w:val="003840A5"/>
    <w:rsid w:val="003A3B22"/>
    <w:rsid w:val="003B1BF5"/>
    <w:rsid w:val="003B3EE0"/>
    <w:rsid w:val="003C6F83"/>
    <w:rsid w:val="003D3A2B"/>
    <w:rsid w:val="003D61FF"/>
    <w:rsid w:val="004153DD"/>
    <w:rsid w:val="00436B35"/>
    <w:rsid w:val="0045219D"/>
    <w:rsid w:val="00494DCA"/>
    <w:rsid w:val="004E5DF7"/>
    <w:rsid w:val="004F4BBC"/>
    <w:rsid w:val="005042B3"/>
    <w:rsid w:val="00510029"/>
    <w:rsid w:val="005448AD"/>
    <w:rsid w:val="0056561D"/>
    <w:rsid w:val="00577F26"/>
    <w:rsid w:val="0058594F"/>
    <w:rsid w:val="005D23F0"/>
    <w:rsid w:val="005D26DC"/>
    <w:rsid w:val="005F4DDB"/>
    <w:rsid w:val="006300A7"/>
    <w:rsid w:val="006470F0"/>
    <w:rsid w:val="00667C00"/>
    <w:rsid w:val="006718ED"/>
    <w:rsid w:val="00676B2D"/>
    <w:rsid w:val="006A7EF5"/>
    <w:rsid w:val="006B50F3"/>
    <w:rsid w:val="006E2C27"/>
    <w:rsid w:val="006E5E56"/>
    <w:rsid w:val="006F70B2"/>
    <w:rsid w:val="00705748"/>
    <w:rsid w:val="007059D8"/>
    <w:rsid w:val="00713283"/>
    <w:rsid w:val="0072100F"/>
    <w:rsid w:val="0072734D"/>
    <w:rsid w:val="00767437"/>
    <w:rsid w:val="00786084"/>
    <w:rsid w:val="00790CB3"/>
    <w:rsid w:val="007C0634"/>
    <w:rsid w:val="007D0E13"/>
    <w:rsid w:val="007D4B48"/>
    <w:rsid w:val="007D5045"/>
    <w:rsid w:val="007F5A3D"/>
    <w:rsid w:val="0081643F"/>
    <w:rsid w:val="00832794"/>
    <w:rsid w:val="0085154A"/>
    <w:rsid w:val="0086191C"/>
    <w:rsid w:val="00897589"/>
    <w:rsid w:val="008A5F11"/>
    <w:rsid w:val="008B56EC"/>
    <w:rsid w:val="008C55B4"/>
    <w:rsid w:val="0090268A"/>
    <w:rsid w:val="00910442"/>
    <w:rsid w:val="00911C9E"/>
    <w:rsid w:val="0091295C"/>
    <w:rsid w:val="009271DC"/>
    <w:rsid w:val="00927C31"/>
    <w:rsid w:val="009442FF"/>
    <w:rsid w:val="0096472D"/>
    <w:rsid w:val="00966CF1"/>
    <w:rsid w:val="00975B45"/>
    <w:rsid w:val="009778DF"/>
    <w:rsid w:val="00980ACE"/>
    <w:rsid w:val="00997926"/>
    <w:rsid w:val="009B3132"/>
    <w:rsid w:val="009B3199"/>
    <w:rsid w:val="009B33E4"/>
    <w:rsid w:val="009E484D"/>
    <w:rsid w:val="00A062D8"/>
    <w:rsid w:val="00A06AF8"/>
    <w:rsid w:val="00A16F4B"/>
    <w:rsid w:val="00A523FD"/>
    <w:rsid w:val="00A643D0"/>
    <w:rsid w:val="00A801EE"/>
    <w:rsid w:val="00AB2C84"/>
    <w:rsid w:val="00AB5AF8"/>
    <w:rsid w:val="00AC3177"/>
    <w:rsid w:val="00AD209D"/>
    <w:rsid w:val="00AE52DC"/>
    <w:rsid w:val="00AF6EE3"/>
    <w:rsid w:val="00B33186"/>
    <w:rsid w:val="00B51EA7"/>
    <w:rsid w:val="00B72C78"/>
    <w:rsid w:val="00B97B1D"/>
    <w:rsid w:val="00BA1044"/>
    <w:rsid w:val="00BF61FA"/>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B3FD0"/>
    <w:rsid w:val="00DD520E"/>
    <w:rsid w:val="00DF7C67"/>
    <w:rsid w:val="00E10C70"/>
    <w:rsid w:val="00E32C5C"/>
    <w:rsid w:val="00E36C21"/>
    <w:rsid w:val="00E376D3"/>
    <w:rsid w:val="00E649A8"/>
    <w:rsid w:val="00E86F4F"/>
    <w:rsid w:val="00E9206B"/>
    <w:rsid w:val="00EA2BE4"/>
    <w:rsid w:val="00EC592D"/>
    <w:rsid w:val="00ED2C53"/>
    <w:rsid w:val="00ED77F1"/>
    <w:rsid w:val="00EE7533"/>
    <w:rsid w:val="00EF39F5"/>
    <w:rsid w:val="00EF555A"/>
    <w:rsid w:val="00F02489"/>
    <w:rsid w:val="00F10078"/>
    <w:rsid w:val="00F339BD"/>
    <w:rsid w:val="00F72C4D"/>
    <w:rsid w:val="00F737C5"/>
    <w:rsid w:val="00F73B9A"/>
    <w:rsid w:val="00F82600"/>
    <w:rsid w:val="00F90479"/>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1BE7B83"/>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2128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EO-N-33-20-COVID-19-HEALTH-ORDER-03.19.2020-00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48B8-30ED-4A39-BFB1-6C5D004CB0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d47a867-ae85-4f49-9693-a9c2c55e8d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226B8E-8B25-44FC-97C8-5C380394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4.xml><?xml version="1.0" encoding="utf-8"?>
<ds:datastoreItem xmlns:ds="http://schemas.openxmlformats.org/officeDocument/2006/customXml" ds:itemID="{1A272C28-080A-4E5E-B3B1-C4F3CA23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10250</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Ellen Langille</cp:lastModifiedBy>
  <cp:revision>2</cp:revision>
  <cp:lastPrinted>2016-12-12T19:49:00Z</cp:lastPrinted>
  <dcterms:created xsi:type="dcterms:W3CDTF">2021-12-20T23:50:00Z</dcterms:created>
  <dcterms:modified xsi:type="dcterms:W3CDTF">2021-12-20T23:50:00Z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