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4578E" w14:textId="77777777" w:rsidR="0056561D" w:rsidRPr="00A801EE" w:rsidRDefault="00786084" w:rsidP="00786084">
      <w:pPr>
        <w:tabs>
          <w:tab w:val="center" w:pos="4680"/>
          <w:tab w:val="right" w:pos="9360"/>
        </w:tabs>
        <w:spacing w:after="0" w:line="240" w:lineRule="auto"/>
        <w:rPr>
          <w:rFonts w:ascii="Arial" w:hAnsi="Arial" w:cs="Arial"/>
          <w:b/>
          <w:sz w:val="24"/>
          <w:szCs w:val="24"/>
        </w:rPr>
      </w:pPr>
      <w:r>
        <w:rPr>
          <w:rFonts w:ascii="Arial" w:hAnsi="Arial" w:cs="Arial"/>
          <w:b/>
          <w:sz w:val="24"/>
          <w:szCs w:val="24"/>
        </w:rPr>
        <w:tab/>
      </w:r>
      <w:r w:rsidR="0056561D" w:rsidRPr="00A801EE">
        <w:rPr>
          <w:rFonts w:ascii="Arial" w:hAnsi="Arial" w:cs="Arial"/>
          <w:b/>
          <w:sz w:val="24"/>
          <w:szCs w:val="24"/>
        </w:rPr>
        <w:t>FINDING OF EMERGENCY</w:t>
      </w:r>
      <w:r>
        <w:rPr>
          <w:rFonts w:ascii="Arial" w:hAnsi="Arial" w:cs="Arial"/>
          <w:b/>
          <w:sz w:val="24"/>
          <w:szCs w:val="24"/>
        </w:rPr>
        <w:tab/>
      </w:r>
    </w:p>
    <w:p w14:paraId="61CFC62A"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OF THE</w:t>
      </w:r>
    </w:p>
    <w:p w14:paraId="7AF22274"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DEPARTMENT OF INDUSTRIAL RELATIONS</w:t>
      </w:r>
    </w:p>
    <w:p w14:paraId="3620BD3E"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DIVISION OF WORKERS’ COMPENSATION</w:t>
      </w:r>
    </w:p>
    <w:p w14:paraId="2108CC2A" w14:textId="77777777" w:rsidR="009442FF" w:rsidRPr="00A801EE" w:rsidRDefault="009442FF" w:rsidP="0056561D">
      <w:pPr>
        <w:spacing w:after="0" w:line="240" w:lineRule="auto"/>
        <w:jc w:val="center"/>
        <w:rPr>
          <w:rFonts w:ascii="Arial" w:hAnsi="Arial" w:cs="Arial"/>
          <w:b/>
          <w:sz w:val="24"/>
          <w:szCs w:val="24"/>
        </w:rPr>
      </w:pPr>
    </w:p>
    <w:p w14:paraId="698D3C86"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REGARDING THE CALIFORNIA LABOR CODE</w:t>
      </w:r>
    </w:p>
    <w:p w14:paraId="6A57D5A4"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TITLE 8, CALIFORNIA CODE OF REGULATIONS</w:t>
      </w:r>
    </w:p>
    <w:p w14:paraId="46ABE32C"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DIVISION 1. DEPARTMENT OF INDUSTRIAL RELATIONS</w:t>
      </w:r>
    </w:p>
    <w:p w14:paraId="4B36ECB8" w14:textId="77777777" w:rsidR="0056561D" w:rsidRPr="00A801EE" w:rsidRDefault="0056561D" w:rsidP="0056561D">
      <w:pPr>
        <w:spacing w:after="0" w:line="240" w:lineRule="auto"/>
        <w:jc w:val="center"/>
        <w:rPr>
          <w:rFonts w:ascii="Arial" w:hAnsi="Arial" w:cs="Arial"/>
          <w:b/>
          <w:sz w:val="24"/>
          <w:szCs w:val="24"/>
        </w:rPr>
      </w:pPr>
      <w:r w:rsidRPr="00A801EE">
        <w:rPr>
          <w:rFonts w:ascii="Arial" w:hAnsi="Arial" w:cs="Arial"/>
          <w:b/>
          <w:sz w:val="24"/>
          <w:szCs w:val="24"/>
        </w:rPr>
        <w:t xml:space="preserve">CHAPTER </w:t>
      </w:r>
      <w:r w:rsidR="008A5F11">
        <w:rPr>
          <w:rFonts w:ascii="Arial" w:hAnsi="Arial" w:cs="Arial"/>
          <w:b/>
          <w:sz w:val="24"/>
          <w:szCs w:val="24"/>
        </w:rPr>
        <w:t>1,</w:t>
      </w:r>
      <w:r w:rsidRPr="00A801EE">
        <w:rPr>
          <w:rFonts w:ascii="Arial" w:hAnsi="Arial" w:cs="Arial"/>
          <w:b/>
          <w:sz w:val="24"/>
          <w:szCs w:val="24"/>
        </w:rPr>
        <w:t xml:space="preserve"> DIVISION OF WORKERS’ COMPENSATION</w:t>
      </w:r>
    </w:p>
    <w:p w14:paraId="1524319A" w14:textId="77777777" w:rsidR="008A5F11" w:rsidRDefault="008A5F11" w:rsidP="0056561D">
      <w:pPr>
        <w:spacing w:after="0" w:line="240" w:lineRule="auto"/>
        <w:jc w:val="center"/>
        <w:rPr>
          <w:rFonts w:ascii="Arial" w:hAnsi="Arial" w:cs="Arial"/>
          <w:b/>
          <w:sz w:val="24"/>
          <w:szCs w:val="24"/>
        </w:rPr>
      </w:pPr>
      <w:r w:rsidRPr="008A5F11">
        <w:rPr>
          <w:rFonts w:ascii="Arial Bold" w:hAnsi="Arial Bold" w:cs="Arial"/>
          <w:b/>
          <w:caps/>
          <w:sz w:val="24"/>
          <w:szCs w:val="24"/>
        </w:rPr>
        <w:t xml:space="preserve">Article </w:t>
      </w:r>
      <w:r w:rsidR="00997926">
        <w:rPr>
          <w:rFonts w:ascii="Arial" w:hAnsi="Arial" w:cs="Arial"/>
          <w:b/>
          <w:sz w:val="24"/>
          <w:szCs w:val="24"/>
        </w:rPr>
        <w:t>4</w:t>
      </w:r>
      <w:r>
        <w:rPr>
          <w:rFonts w:ascii="Arial" w:hAnsi="Arial" w:cs="Arial"/>
          <w:b/>
          <w:sz w:val="24"/>
          <w:szCs w:val="24"/>
        </w:rPr>
        <w:t>, PRACTICE PARAMETERS</w:t>
      </w:r>
    </w:p>
    <w:p w14:paraId="288FA3DC" w14:textId="77777777" w:rsidR="008A5F11" w:rsidRPr="00A801EE" w:rsidRDefault="001B2404" w:rsidP="008A5F11">
      <w:pPr>
        <w:jc w:val="center"/>
        <w:rPr>
          <w:rFonts w:ascii="Arial" w:hAnsi="Arial" w:cs="Arial"/>
          <w:sz w:val="24"/>
          <w:szCs w:val="24"/>
        </w:rPr>
      </w:pPr>
      <w:r>
        <w:rPr>
          <w:rFonts w:ascii="Arial" w:hAnsi="Arial" w:cs="Arial"/>
          <w:b/>
          <w:sz w:val="24"/>
          <w:szCs w:val="24"/>
        </w:rPr>
        <w:t xml:space="preserve">Section </w:t>
      </w:r>
      <w:r w:rsidR="00E649A8">
        <w:rPr>
          <w:rFonts w:ascii="Arial" w:hAnsi="Arial" w:cs="Arial"/>
          <w:b/>
          <w:sz w:val="24"/>
          <w:szCs w:val="24"/>
        </w:rPr>
        <w:t>46.</w:t>
      </w:r>
      <w:r w:rsidR="008B56EC">
        <w:rPr>
          <w:rFonts w:ascii="Arial" w:hAnsi="Arial" w:cs="Arial"/>
          <w:b/>
          <w:sz w:val="24"/>
          <w:szCs w:val="24"/>
        </w:rPr>
        <w:t>3</w:t>
      </w:r>
      <w:r w:rsidR="008A5F11">
        <w:rPr>
          <w:rFonts w:ascii="Arial" w:hAnsi="Arial" w:cs="Arial"/>
          <w:b/>
          <w:sz w:val="24"/>
          <w:szCs w:val="24"/>
        </w:rPr>
        <w:t xml:space="preserve"> </w:t>
      </w:r>
      <w:r>
        <w:rPr>
          <w:rFonts w:ascii="Arial" w:eastAsia="Times New Roman" w:hAnsi="Arial" w:cs="Arial"/>
          <w:b/>
          <w:color w:val="000000"/>
          <w:sz w:val="24"/>
          <w:szCs w:val="24"/>
        </w:rPr>
        <w:t>QME</w:t>
      </w:r>
      <w:r w:rsidRPr="008A5F11">
        <w:rPr>
          <w:rFonts w:ascii="Arial" w:eastAsia="Times New Roman" w:hAnsi="Arial" w:cs="Arial"/>
          <w:b/>
          <w:color w:val="000000"/>
          <w:sz w:val="24"/>
          <w:szCs w:val="24"/>
        </w:rPr>
        <w:t xml:space="preserve"> </w:t>
      </w:r>
      <w:r w:rsidR="008A5F11" w:rsidRPr="008A5F11">
        <w:rPr>
          <w:rFonts w:ascii="Arial" w:eastAsia="Times New Roman" w:hAnsi="Arial" w:cs="Arial"/>
          <w:b/>
          <w:color w:val="000000"/>
          <w:sz w:val="24"/>
          <w:szCs w:val="24"/>
        </w:rPr>
        <w:t xml:space="preserve">Emergency Regulation in Response to </w:t>
      </w:r>
      <w:r w:rsidR="003840A5">
        <w:rPr>
          <w:rFonts w:ascii="Arial" w:eastAsia="Times New Roman" w:hAnsi="Arial" w:cs="Arial"/>
          <w:b/>
          <w:color w:val="000000"/>
          <w:sz w:val="24"/>
          <w:szCs w:val="24"/>
        </w:rPr>
        <w:t>COVID</w:t>
      </w:r>
      <w:r w:rsidR="008A5F11" w:rsidRPr="008A5F11">
        <w:rPr>
          <w:rFonts w:ascii="Arial" w:eastAsia="Times New Roman" w:hAnsi="Arial" w:cs="Arial"/>
          <w:b/>
          <w:color w:val="000000"/>
          <w:sz w:val="24"/>
          <w:szCs w:val="24"/>
        </w:rPr>
        <w:t>-19</w:t>
      </w:r>
      <w:r w:rsidR="008A5F11" w:rsidRPr="008A5F11">
        <w:rPr>
          <w:rFonts w:ascii="Arial" w:hAnsi="Arial" w:cs="Arial"/>
          <w:b/>
          <w:sz w:val="24"/>
          <w:szCs w:val="24"/>
        </w:rPr>
        <w:t>.</w:t>
      </w:r>
    </w:p>
    <w:p w14:paraId="298DEA44" w14:textId="77777777" w:rsidR="0056561D" w:rsidRPr="003D61FF" w:rsidRDefault="0056561D" w:rsidP="0056561D">
      <w:pPr>
        <w:rPr>
          <w:rFonts w:ascii="Arial" w:hAnsi="Arial" w:cs="Arial"/>
          <w:sz w:val="24"/>
          <w:szCs w:val="24"/>
        </w:rPr>
      </w:pPr>
      <w:r w:rsidRPr="003D61FF">
        <w:rPr>
          <w:rFonts w:ascii="Arial" w:hAnsi="Arial" w:cs="Arial"/>
          <w:sz w:val="24"/>
          <w:szCs w:val="24"/>
        </w:rPr>
        <w:t>Government Code Section 11346.1 requires a finding of emergency to include a written statement with the information required by paragraphs (2), (3), (4), (5) and (6) of subsection (a) of Section 11346.5 and a description of the specific facts showing the need for immediate action.</w:t>
      </w:r>
    </w:p>
    <w:p w14:paraId="44610726" w14:textId="77777777" w:rsidR="0056561D" w:rsidRPr="003D61FF" w:rsidRDefault="0072100F" w:rsidP="0056561D">
      <w:pPr>
        <w:rPr>
          <w:rFonts w:ascii="Arial" w:hAnsi="Arial" w:cs="Arial"/>
          <w:sz w:val="24"/>
          <w:szCs w:val="24"/>
        </w:rPr>
      </w:pPr>
      <w:r w:rsidRPr="003D61FF">
        <w:rPr>
          <w:rFonts w:ascii="Arial" w:hAnsi="Arial" w:cs="Arial"/>
          <w:sz w:val="24"/>
          <w:szCs w:val="24"/>
        </w:rPr>
        <w:t>The Administrative D</w:t>
      </w:r>
      <w:r w:rsidR="009442FF" w:rsidRPr="003D61FF">
        <w:rPr>
          <w:rFonts w:ascii="Arial" w:hAnsi="Arial" w:cs="Arial"/>
          <w:sz w:val="24"/>
          <w:szCs w:val="24"/>
        </w:rPr>
        <w:t xml:space="preserve">irector of the Division of Workers’ Compensation </w:t>
      </w:r>
      <w:r w:rsidR="000A7B1B" w:rsidRPr="003D61FF">
        <w:rPr>
          <w:rFonts w:ascii="Arial" w:hAnsi="Arial" w:cs="Arial"/>
          <w:sz w:val="24"/>
          <w:szCs w:val="24"/>
        </w:rPr>
        <w:t xml:space="preserve">(DWC) </w:t>
      </w:r>
      <w:r w:rsidR="009442FF" w:rsidRPr="003D61FF">
        <w:rPr>
          <w:rFonts w:ascii="Arial" w:hAnsi="Arial" w:cs="Arial"/>
          <w:sz w:val="24"/>
          <w:szCs w:val="24"/>
        </w:rPr>
        <w:t>finds that the adoption of th</w:t>
      </w:r>
      <w:r w:rsidR="008A5F11" w:rsidRPr="003D61FF">
        <w:rPr>
          <w:rFonts w:ascii="Arial" w:hAnsi="Arial" w:cs="Arial"/>
          <w:sz w:val="24"/>
          <w:szCs w:val="24"/>
        </w:rPr>
        <w:t>is regulation</w:t>
      </w:r>
      <w:r w:rsidR="009442FF" w:rsidRPr="003D61FF">
        <w:rPr>
          <w:rFonts w:ascii="Arial" w:hAnsi="Arial" w:cs="Arial"/>
          <w:sz w:val="24"/>
          <w:szCs w:val="24"/>
        </w:rPr>
        <w:t xml:space="preserve"> is necessary for the immediate preservation of the public peace, health and safety, or general welfare, as follows:</w:t>
      </w:r>
    </w:p>
    <w:p w14:paraId="595C0B7A" w14:textId="77777777" w:rsidR="0056561D" w:rsidRPr="003D61FF" w:rsidRDefault="0056561D" w:rsidP="0056561D">
      <w:pPr>
        <w:rPr>
          <w:rFonts w:ascii="Arial" w:hAnsi="Arial" w:cs="Arial"/>
          <w:b/>
          <w:sz w:val="24"/>
          <w:szCs w:val="24"/>
          <w:u w:val="single"/>
        </w:rPr>
      </w:pPr>
      <w:r w:rsidRPr="003D61FF">
        <w:rPr>
          <w:rFonts w:ascii="Arial" w:hAnsi="Arial" w:cs="Arial"/>
          <w:b/>
          <w:sz w:val="24"/>
          <w:szCs w:val="24"/>
          <w:u w:val="single"/>
        </w:rPr>
        <w:t>FINDING OF EMERGENCY</w:t>
      </w:r>
    </w:p>
    <w:p w14:paraId="3B313CE2" w14:textId="77777777" w:rsidR="00CB4D72" w:rsidRPr="003D61FF" w:rsidRDefault="0056561D" w:rsidP="00CB4D72">
      <w:pPr>
        <w:rPr>
          <w:rFonts w:ascii="Arial" w:hAnsi="Arial" w:cs="Arial"/>
          <w:b/>
          <w:sz w:val="24"/>
          <w:szCs w:val="24"/>
        </w:rPr>
      </w:pPr>
      <w:r w:rsidRPr="003D61FF">
        <w:rPr>
          <w:rFonts w:ascii="Arial" w:hAnsi="Arial" w:cs="Arial"/>
          <w:b/>
          <w:sz w:val="24"/>
          <w:szCs w:val="24"/>
        </w:rPr>
        <w:t>Bas</w:t>
      </w:r>
      <w:r w:rsidR="00CB4D72" w:rsidRPr="003D61FF">
        <w:rPr>
          <w:rFonts w:ascii="Arial" w:hAnsi="Arial" w:cs="Arial"/>
          <w:b/>
          <w:sz w:val="24"/>
          <w:szCs w:val="24"/>
        </w:rPr>
        <w:t>is for the Finding of Emergency</w:t>
      </w:r>
    </w:p>
    <w:p w14:paraId="6AF983B7" w14:textId="77777777" w:rsidR="00B33186" w:rsidRPr="00B33186" w:rsidRDefault="00B33186" w:rsidP="005448AD">
      <w:pPr>
        <w:numPr>
          <w:ilvl w:val="0"/>
          <w:numId w:val="20"/>
        </w:numPr>
        <w:rPr>
          <w:rFonts w:ascii="Arial" w:hAnsi="Arial" w:cs="Arial"/>
          <w:sz w:val="24"/>
          <w:szCs w:val="24"/>
        </w:rPr>
      </w:pPr>
      <w:r w:rsidRPr="00B33186">
        <w:rPr>
          <w:rFonts w:ascii="Arial" w:hAnsi="Arial" w:cs="Arial"/>
          <w:sz w:val="24"/>
          <w:szCs w:val="24"/>
        </w:rPr>
        <w:t>The emergence of unexpected and unpredictable COVID-19 variants, such as the Delta and the burgeoning Omicron variants, is clearly demonstrating that the ongoing pandemic is not subsiding but remains a serious threat to public health</w:t>
      </w:r>
      <w:r>
        <w:rPr>
          <w:rFonts w:ascii="Arial" w:hAnsi="Arial" w:cs="Arial"/>
          <w:sz w:val="24"/>
          <w:szCs w:val="24"/>
        </w:rPr>
        <w:t xml:space="preserve"> therefore action is necessary to reduce </w:t>
      </w:r>
      <w:r w:rsidR="002C188A">
        <w:rPr>
          <w:rFonts w:ascii="Arial" w:hAnsi="Arial" w:cs="Arial"/>
          <w:sz w:val="24"/>
          <w:szCs w:val="24"/>
        </w:rPr>
        <w:t>exposure to the virus</w:t>
      </w:r>
      <w:r w:rsidRPr="00B33186">
        <w:rPr>
          <w:rFonts w:ascii="Arial" w:hAnsi="Arial" w:cs="Arial"/>
          <w:sz w:val="24"/>
          <w:szCs w:val="24"/>
        </w:rPr>
        <w:t xml:space="preserve">. </w:t>
      </w:r>
    </w:p>
    <w:p w14:paraId="013EE69D" w14:textId="77777777" w:rsidR="005448AD" w:rsidRPr="003C6F83" w:rsidRDefault="005448AD" w:rsidP="005448AD">
      <w:pPr>
        <w:numPr>
          <w:ilvl w:val="0"/>
          <w:numId w:val="20"/>
        </w:numPr>
        <w:rPr>
          <w:rFonts w:ascii="Arial" w:hAnsi="Arial" w:cs="Arial"/>
          <w:b/>
          <w:sz w:val="24"/>
          <w:szCs w:val="24"/>
        </w:rPr>
      </w:pPr>
      <w:r w:rsidRPr="003840A5">
        <w:rPr>
          <w:rFonts w:ascii="Arial" w:hAnsi="Arial" w:cs="Arial"/>
          <w:sz w:val="24"/>
          <w:szCs w:val="24"/>
        </w:rPr>
        <w:t xml:space="preserve">Action is necessary in order to implement, on an emergency basis, the </w:t>
      </w:r>
      <w:r w:rsidR="005D26DC" w:rsidRPr="003840A5">
        <w:rPr>
          <w:rFonts w:ascii="Arial" w:hAnsi="Arial" w:cs="Arial"/>
          <w:sz w:val="24"/>
          <w:szCs w:val="24"/>
        </w:rPr>
        <w:t xml:space="preserve">ability of </w:t>
      </w:r>
      <w:r w:rsidR="00676B2D">
        <w:rPr>
          <w:rFonts w:ascii="Arial" w:hAnsi="Arial" w:cs="Arial"/>
          <w:sz w:val="24"/>
          <w:szCs w:val="24"/>
        </w:rPr>
        <w:t xml:space="preserve">physicians </w:t>
      </w:r>
      <w:r w:rsidR="005D26DC" w:rsidRPr="003840A5">
        <w:rPr>
          <w:rFonts w:ascii="Arial" w:hAnsi="Arial" w:cs="Arial"/>
          <w:sz w:val="24"/>
          <w:szCs w:val="24"/>
        </w:rPr>
        <w:t>in California</w:t>
      </w:r>
      <w:r w:rsidR="003D61FF">
        <w:rPr>
          <w:rFonts w:ascii="Arial" w:hAnsi="Arial" w:cs="Arial"/>
          <w:sz w:val="24"/>
          <w:szCs w:val="24"/>
        </w:rPr>
        <w:t>’s</w:t>
      </w:r>
      <w:r w:rsidR="005D26DC" w:rsidRPr="003D61FF">
        <w:rPr>
          <w:rFonts w:ascii="Arial" w:hAnsi="Arial" w:cs="Arial"/>
          <w:sz w:val="24"/>
          <w:szCs w:val="24"/>
        </w:rPr>
        <w:t xml:space="preserve"> </w:t>
      </w:r>
      <w:r w:rsidR="003D61FF">
        <w:rPr>
          <w:rFonts w:ascii="Arial" w:hAnsi="Arial" w:cs="Arial"/>
          <w:sz w:val="24"/>
          <w:szCs w:val="24"/>
        </w:rPr>
        <w:t>w</w:t>
      </w:r>
      <w:r w:rsidR="005D26DC" w:rsidRPr="003D61FF">
        <w:rPr>
          <w:rFonts w:ascii="Arial" w:hAnsi="Arial" w:cs="Arial"/>
          <w:sz w:val="24"/>
          <w:szCs w:val="24"/>
        </w:rPr>
        <w:t xml:space="preserve">orkers’ </w:t>
      </w:r>
      <w:r w:rsidR="003D61FF">
        <w:rPr>
          <w:rFonts w:ascii="Arial" w:hAnsi="Arial" w:cs="Arial"/>
          <w:sz w:val="24"/>
          <w:szCs w:val="24"/>
        </w:rPr>
        <w:t>c</w:t>
      </w:r>
      <w:r w:rsidR="005D26DC" w:rsidRPr="003D61FF">
        <w:rPr>
          <w:rFonts w:ascii="Arial" w:hAnsi="Arial" w:cs="Arial"/>
          <w:sz w:val="24"/>
          <w:szCs w:val="24"/>
        </w:rPr>
        <w:t xml:space="preserve">ompensation </w:t>
      </w:r>
      <w:r w:rsidR="003D61FF">
        <w:rPr>
          <w:rFonts w:ascii="Arial" w:hAnsi="Arial" w:cs="Arial"/>
          <w:sz w:val="24"/>
          <w:szCs w:val="24"/>
        </w:rPr>
        <w:t>s</w:t>
      </w:r>
      <w:r w:rsidR="005D26DC" w:rsidRPr="003D61FF">
        <w:rPr>
          <w:rFonts w:ascii="Arial" w:hAnsi="Arial" w:cs="Arial"/>
          <w:sz w:val="24"/>
          <w:szCs w:val="24"/>
        </w:rPr>
        <w:t xml:space="preserve">ystem to continue to </w:t>
      </w:r>
      <w:r w:rsidR="00676B2D">
        <w:rPr>
          <w:rFonts w:ascii="Arial" w:hAnsi="Arial" w:cs="Arial"/>
          <w:sz w:val="24"/>
          <w:szCs w:val="24"/>
        </w:rPr>
        <w:t xml:space="preserve">provide telehealth medical-legal evaluations </w:t>
      </w:r>
      <w:r w:rsidR="005D26DC" w:rsidRPr="003D61FF">
        <w:rPr>
          <w:rFonts w:ascii="Arial" w:hAnsi="Arial" w:cs="Arial"/>
          <w:sz w:val="24"/>
          <w:szCs w:val="24"/>
        </w:rPr>
        <w:t>during the</w:t>
      </w:r>
      <w:r w:rsidR="00E649A8">
        <w:rPr>
          <w:rFonts w:ascii="Arial" w:hAnsi="Arial" w:cs="Arial"/>
          <w:sz w:val="24"/>
          <w:szCs w:val="24"/>
        </w:rPr>
        <w:t xml:space="preserve"> COVID-19 medical crisis</w:t>
      </w:r>
      <w:r w:rsidR="005D26DC" w:rsidRPr="003D61FF">
        <w:rPr>
          <w:rFonts w:ascii="Arial" w:hAnsi="Arial" w:cs="Arial"/>
          <w:sz w:val="24"/>
          <w:szCs w:val="24"/>
        </w:rPr>
        <w:t xml:space="preserve">. </w:t>
      </w:r>
    </w:p>
    <w:p w14:paraId="6521D47F" w14:textId="77777777" w:rsidR="003C6F83" w:rsidRPr="003D61FF" w:rsidRDefault="003C6F83" w:rsidP="005448AD">
      <w:pPr>
        <w:numPr>
          <w:ilvl w:val="0"/>
          <w:numId w:val="20"/>
        </w:numPr>
        <w:rPr>
          <w:rFonts w:ascii="Arial" w:hAnsi="Arial" w:cs="Arial"/>
          <w:b/>
          <w:sz w:val="24"/>
          <w:szCs w:val="24"/>
        </w:rPr>
      </w:pPr>
      <w:r>
        <w:rPr>
          <w:rFonts w:ascii="Arial" w:hAnsi="Arial" w:cs="Arial"/>
          <w:sz w:val="24"/>
          <w:szCs w:val="24"/>
        </w:rPr>
        <w:t xml:space="preserve">Action is necessary in order to allow injured workers and physician flexibility with evaluation locations given various regional restrictions. </w:t>
      </w:r>
    </w:p>
    <w:p w14:paraId="5DE20692" w14:textId="77777777" w:rsidR="0056561D" w:rsidRPr="003840A5" w:rsidRDefault="0056561D" w:rsidP="0056561D">
      <w:pPr>
        <w:rPr>
          <w:rFonts w:ascii="Arial" w:hAnsi="Arial" w:cs="Arial"/>
          <w:b/>
          <w:sz w:val="24"/>
          <w:szCs w:val="24"/>
        </w:rPr>
      </w:pPr>
      <w:r w:rsidRPr="003840A5">
        <w:rPr>
          <w:rFonts w:ascii="Arial" w:hAnsi="Arial" w:cs="Arial"/>
          <w:b/>
          <w:sz w:val="24"/>
          <w:szCs w:val="24"/>
        </w:rPr>
        <w:t>Background</w:t>
      </w:r>
    </w:p>
    <w:p w14:paraId="4322ECB3" w14:textId="77777777" w:rsidR="00CB085F" w:rsidRPr="007F5A3D" w:rsidRDefault="0056561D" w:rsidP="00CB085F">
      <w:pPr>
        <w:numPr>
          <w:ilvl w:val="0"/>
          <w:numId w:val="21"/>
        </w:numPr>
        <w:rPr>
          <w:rFonts w:ascii="Arial" w:hAnsi="Arial" w:cs="Arial"/>
          <w:sz w:val="24"/>
          <w:szCs w:val="24"/>
        </w:rPr>
      </w:pPr>
      <w:r w:rsidRPr="003840A5">
        <w:rPr>
          <w:rFonts w:ascii="Arial" w:hAnsi="Arial" w:cs="Arial"/>
          <w:sz w:val="24"/>
          <w:szCs w:val="24"/>
        </w:rPr>
        <w:t>The D</w:t>
      </w:r>
      <w:r w:rsidR="00927C31" w:rsidRPr="003840A5">
        <w:rPr>
          <w:rFonts w:ascii="Arial" w:hAnsi="Arial" w:cs="Arial"/>
          <w:sz w:val="24"/>
          <w:szCs w:val="24"/>
        </w:rPr>
        <w:t>WC</w:t>
      </w:r>
      <w:r w:rsidRPr="003840A5">
        <w:rPr>
          <w:rFonts w:ascii="Arial" w:hAnsi="Arial" w:cs="Arial"/>
          <w:sz w:val="24"/>
          <w:szCs w:val="24"/>
        </w:rPr>
        <w:t xml:space="preserve"> develops regulations to implement, interpret, and make specific the California Labor Code. </w:t>
      </w:r>
    </w:p>
    <w:p w14:paraId="2DDF6AD1" w14:textId="77777777" w:rsidR="00705748" w:rsidRPr="003D61FF" w:rsidRDefault="00705748" w:rsidP="00705748">
      <w:pPr>
        <w:numPr>
          <w:ilvl w:val="0"/>
          <w:numId w:val="21"/>
        </w:numPr>
        <w:rPr>
          <w:rFonts w:ascii="Arial" w:hAnsi="Arial" w:cs="Arial"/>
          <w:sz w:val="24"/>
          <w:szCs w:val="24"/>
        </w:rPr>
      </w:pPr>
      <w:r w:rsidRPr="009B3132">
        <w:rPr>
          <w:rFonts w:ascii="Arial" w:hAnsi="Arial" w:cs="Arial"/>
          <w:sz w:val="24"/>
          <w:szCs w:val="24"/>
        </w:rPr>
        <w:t>Qualified Medical Evaluators (QME</w:t>
      </w:r>
      <w:r w:rsidR="003D61FF">
        <w:rPr>
          <w:rFonts w:ascii="Arial" w:hAnsi="Arial" w:cs="Arial"/>
          <w:sz w:val="24"/>
          <w:szCs w:val="24"/>
        </w:rPr>
        <w:t>s</w:t>
      </w:r>
      <w:r w:rsidRPr="003D61FF">
        <w:rPr>
          <w:rFonts w:ascii="Arial" w:hAnsi="Arial" w:cs="Arial"/>
          <w:sz w:val="24"/>
          <w:szCs w:val="24"/>
        </w:rPr>
        <w:t>) provide medical</w:t>
      </w:r>
      <w:r w:rsidR="003D61FF">
        <w:rPr>
          <w:rFonts w:ascii="Arial" w:hAnsi="Arial" w:cs="Arial"/>
          <w:sz w:val="24"/>
          <w:szCs w:val="24"/>
        </w:rPr>
        <w:t>-</w:t>
      </w:r>
      <w:r w:rsidRPr="003D61FF">
        <w:rPr>
          <w:rFonts w:ascii="Arial" w:hAnsi="Arial" w:cs="Arial"/>
          <w:sz w:val="24"/>
          <w:szCs w:val="24"/>
        </w:rPr>
        <w:t>legal evaluation</w:t>
      </w:r>
      <w:r w:rsidR="003D61FF">
        <w:rPr>
          <w:rFonts w:ascii="Arial" w:hAnsi="Arial" w:cs="Arial"/>
          <w:sz w:val="24"/>
          <w:szCs w:val="24"/>
        </w:rPr>
        <w:t>s</w:t>
      </w:r>
      <w:r w:rsidRPr="003D61FF">
        <w:rPr>
          <w:rFonts w:ascii="Arial" w:hAnsi="Arial" w:cs="Arial"/>
          <w:sz w:val="24"/>
          <w:szCs w:val="24"/>
        </w:rPr>
        <w:t xml:space="preserve"> of injured workers to resolve medical issues in dispute between parties to a claim or litigation regarding workers</w:t>
      </w:r>
      <w:r w:rsidR="003D61FF">
        <w:rPr>
          <w:rFonts w:ascii="Arial" w:hAnsi="Arial" w:cs="Arial"/>
          <w:sz w:val="24"/>
          <w:szCs w:val="24"/>
        </w:rPr>
        <w:t>’</w:t>
      </w:r>
      <w:r w:rsidRPr="003D61FF">
        <w:rPr>
          <w:rFonts w:ascii="Arial" w:hAnsi="Arial" w:cs="Arial"/>
          <w:sz w:val="24"/>
          <w:szCs w:val="24"/>
        </w:rPr>
        <w:t xml:space="preserve"> compensation. These evaluations include a physical </w:t>
      </w:r>
      <w:r w:rsidRPr="003D61FF">
        <w:rPr>
          <w:rFonts w:ascii="Arial" w:hAnsi="Arial" w:cs="Arial"/>
          <w:sz w:val="24"/>
          <w:szCs w:val="24"/>
        </w:rPr>
        <w:lastRenderedPageBreak/>
        <w:t xml:space="preserve">examination of the injured worker or specified periods </w:t>
      </w:r>
      <w:r w:rsidR="009B3132" w:rsidRPr="003D61FF">
        <w:rPr>
          <w:rFonts w:ascii="Arial" w:hAnsi="Arial" w:cs="Arial"/>
          <w:sz w:val="24"/>
          <w:szCs w:val="24"/>
        </w:rPr>
        <w:t>of face</w:t>
      </w:r>
      <w:r w:rsidRPr="003D61FF">
        <w:rPr>
          <w:rFonts w:ascii="Arial" w:hAnsi="Arial" w:cs="Arial"/>
          <w:sz w:val="24"/>
          <w:szCs w:val="24"/>
        </w:rPr>
        <w:t>-to-face time where the p</w:t>
      </w:r>
      <w:r w:rsidR="003D61FF">
        <w:rPr>
          <w:rFonts w:ascii="Arial" w:hAnsi="Arial" w:cs="Arial"/>
          <w:sz w:val="24"/>
          <w:szCs w:val="24"/>
        </w:rPr>
        <w:t>hysician</w:t>
      </w:r>
      <w:r w:rsidRPr="003D61FF">
        <w:rPr>
          <w:rFonts w:ascii="Arial" w:hAnsi="Arial" w:cs="Arial"/>
          <w:sz w:val="24"/>
          <w:szCs w:val="24"/>
        </w:rPr>
        <w:t xml:space="preserve"> and injured worker are in the </w:t>
      </w:r>
      <w:r w:rsidR="003D61FF">
        <w:rPr>
          <w:rFonts w:ascii="Arial" w:hAnsi="Arial" w:cs="Arial"/>
          <w:sz w:val="24"/>
          <w:szCs w:val="24"/>
        </w:rPr>
        <w:t xml:space="preserve">physical </w:t>
      </w:r>
      <w:r w:rsidRPr="003D61FF">
        <w:rPr>
          <w:rFonts w:ascii="Arial" w:hAnsi="Arial" w:cs="Arial"/>
          <w:sz w:val="24"/>
          <w:szCs w:val="24"/>
        </w:rPr>
        <w:t xml:space="preserve">presence of each other. This </w:t>
      </w:r>
      <w:r w:rsidR="009B3132">
        <w:rPr>
          <w:rFonts w:ascii="Arial" w:hAnsi="Arial" w:cs="Arial"/>
          <w:sz w:val="24"/>
          <w:szCs w:val="24"/>
        </w:rPr>
        <w:t xml:space="preserve">in person </w:t>
      </w:r>
      <w:r w:rsidRPr="003D61FF">
        <w:rPr>
          <w:rFonts w:ascii="Arial" w:hAnsi="Arial" w:cs="Arial"/>
          <w:sz w:val="24"/>
          <w:szCs w:val="24"/>
        </w:rPr>
        <w:t xml:space="preserve">face-to-face time </w:t>
      </w:r>
      <w:r w:rsidR="009B3132">
        <w:rPr>
          <w:rFonts w:ascii="Arial" w:hAnsi="Arial" w:cs="Arial"/>
          <w:sz w:val="24"/>
          <w:szCs w:val="24"/>
        </w:rPr>
        <w:t>may</w:t>
      </w:r>
      <w:r w:rsidRPr="003D61FF">
        <w:rPr>
          <w:rFonts w:ascii="Arial" w:hAnsi="Arial" w:cs="Arial"/>
          <w:sz w:val="24"/>
          <w:szCs w:val="24"/>
        </w:rPr>
        <w:t xml:space="preserve"> not </w:t>
      </w:r>
      <w:r w:rsidR="009B3132">
        <w:rPr>
          <w:rFonts w:ascii="Arial" w:hAnsi="Arial" w:cs="Arial"/>
          <w:sz w:val="24"/>
          <w:szCs w:val="24"/>
        </w:rPr>
        <w:t xml:space="preserve">be </w:t>
      </w:r>
      <w:r w:rsidRPr="003D61FF">
        <w:rPr>
          <w:rFonts w:ascii="Arial" w:hAnsi="Arial" w:cs="Arial"/>
          <w:sz w:val="24"/>
          <w:szCs w:val="24"/>
        </w:rPr>
        <w:t>possible during the</w:t>
      </w:r>
      <w:r w:rsidR="00997926">
        <w:rPr>
          <w:rFonts w:ascii="Arial" w:hAnsi="Arial" w:cs="Arial"/>
          <w:sz w:val="24"/>
          <w:szCs w:val="24"/>
        </w:rPr>
        <w:t xml:space="preserve"> COVID-19 medical crisis</w:t>
      </w:r>
      <w:r w:rsidRPr="003D61FF">
        <w:rPr>
          <w:rFonts w:ascii="Arial" w:hAnsi="Arial" w:cs="Arial"/>
          <w:sz w:val="24"/>
          <w:szCs w:val="24"/>
        </w:rPr>
        <w:t>.</w:t>
      </w:r>
    </w:p>
    <w:p w14:paraId="6F119AF5" w14:textId="77777777" w:rsidR="00705748" w:rsidRPr="003D61FF" w:rsidRDefault="00705748" w:rsidP="00705748">
      <w:pPr>
        <w:numPr>
          <w:ilvl w:val="0"/>
          <w:numId w:val="21"/>
        </w:numPr>
        <w:rPr>
          <w:rFonts w:ascii="Arial" w:hAnsi="Arial" w:cs="Arial"/>
          <w:sz w:val="24"/>
          <w:szCs w:val="24"/>
        </w:rPr>
      </w:pPr>
      <w:r w:rsidRPr="003D61FF">
        <w:rPr>
          <w:rFonts w:ascii="Arial" w:hAnsi="Arial" w:cs="Arial"/>
          <w:sz w:val="24"/>
          <w:szCs w:val="24"/>
        </w:rPr>
        <w:t>During</w:t>
      </w:r>
      <w:r w:rsidR="00997926">
        <w:rPr>
          <w:rFonts w:ascii="Arial" w:hAnsi="Arial" w:cs="Arial"/>
          <w:sz w:val="24"/>
          <w:szCs w:val="24"/>
        </w:rPr>
        <w:t xml:space="preserve"> the COVID-19 medical crisis</w:t>
      </w:r>
      <w:r w:rsidRPr="003D61FF">
        <w:rPr>
          <w:rFonts w:ascii="Arial" w:hAnsi="Arial" w:cs="Arial"/>
          <w:sz w:val="24"/>
          <w:szCs w:val="24"/>
        </w:rPr>
        <w:t xml:space="preserve"> the use of telehealth or telemedicine has been proposed as an effective means of providing continued healthcare and observing social distancing</w:t>
      </w:r>
      <w:r w:rsidR="00997926">
        <w:rPr>
          <w:rFonts w:ascii="Arial" w:hAnsi="Arial" w:cs="Arial"/>
          <w:sz w:val="24"/>
          <w:szCs w:val="24"/>
        </w:rPr>
        <w:t xml:space="preserve"> as well as limiting exposure to the virus</w:t>
      </w:r>
      <w:r w:rsidRPr="003D61FF">
        <w:rPr>
          <w:rFonts w:ascii="Arial" w:hAnsi="Arial" w:cs="Arial"/>
          <w:sz w:val="24"/>
          <w:szCs w:val="24"/>
        </w:rPr>
        <w:t>.</w:t>
      </w:r>
    </w:p>
    <w:p w14:paraId="11728A57" w14:textId="77777777" w:rsidR="00705748" w:rsidRPr="003D61FF" w:rsidRDefault="00705748" w:rsidP="00705748">
      <w:pPr>
        <w:numPr>
          <w:ilvl w:val="0"/>
          <w:numId w:val="21"/>
        </w:numPr>
        <w:rPr>
          <w:rFonts w:ascii="Arial" w:hAnsi="Arial" w:cs="Arial"/>
          <w:sz w:val="24"/>
          <w:szCs w:val="24"/>
        </w:rPr>
      </w:pPr>
      <w:r w:rsidRPr="003840A5">
        <w:rPr>
          <w:rFonts w:ascii="Arial" w:hAnsi="Arial" w:cs="Arial"/>
          <w:sz w:val="24"/>
          <w:szCs w:val="24"/>
        </w:rPr>
        <w:t xml:space="preserve">It is possible that certain qualified medical-legal evaluations can be performed effectively without the need of a physical examination. An emergency regulation is necessary to facilitate the performance </w:t>
      </w:r>
      <w:r w:rsidR="00997926">
        <w:rPr>
          <w:rFonts w:ascii="Arial" w:hAnsi="Arial" w:cs="Arial"/>
          <w:sz w:val="24"/>
          <w:szCs w:val="24"/>
        </w:rPr>
        <w:t xml:space="preserve">of </w:t>
      </w:r>
      <w:r w:rsidRPr="003840A5">
        <w:rPr>
          <w:rFonts w:ascii="Arial" w:hAnsi="Arial" w:cs="Arial"/>
          <w:sz w:val="24"/>
          <w:szCs w:val="24"/>
        </w:rPr>
        <w:t>these evaluations</w:t>
      </w:r>
      <w:r w:rsidR="003D61FF">
        <w:rPr>
          <w:rFonts w:ascii="Arial" w:hAnsi="Arial" w:cs="Arial"/>
          <w:sz w:val="24"/>
          <w:szCs w:val="24"/>
        </w:rPr>
        <w:t>.</w:t>
      </w:r>
    </w:p>
    <w:p w14:paraId="7231DD48" w14:textId="77777777" w:rsidR="0056561D" w:rsidRPr="003840A5" w:rsidRDefault="0056561D" w:rsidP="0056561D">
      <w:pPr>
        <w:rPr>
          <w:rFonts w:ascii="Arial" w:hAnsi="Arial" w:cs="Arial"/>
          <w:b/>
          <w:sz w:val="24"/>
          <w:szCs w:val="24"/>
          <w:u w:val="single"/>
        </w:rPr>
      </w:pPr>
      <w:r w:rsidRPr="003840A5">
        <w:rPr>
          <w:rFonts w:ascii="Arial" w:hAnsi="Arial" w:cs="Arial"/>
          <w:b/>
          <w:sz w:val="24"/>
          <w:szCs w:val="24"/>
          <w:u w:val="single"/>
        </w:rPr>
        <w:t>AUTHORITY AND REFERENCE</w:t>
      </w:r>
    </w:p>
    <w:p w14:paraId="7E02FD67" w14:textId="77777777" w:rsidR="00911C9E" w:rsidRPr="009B3132" w:rsidRDefault="0056561D" w:rsidP="005F4DDB">
      <w:pPr>
        <w:rPr>
          <w:rFonts w:ascii="Arial" w:hAnsi="Arial" w:cs="Arial"/>
          <w:sz w:val="24"/>
          <w:szCs w:val="24"/>
        </w:rPr>
      </w:pPr>
      <w:r w:rsidRPr="003840A5">
        <w:rPr>
          <w:rFonts w:ascii="Arial" w:hAnsi="Arial" w:cs="Arial"/>
          <w:sz w:val="24"/>
          <w:szCs w:val="24"/>
        </w:rPr>
        <w:t>The Administrative Director of the Division of Workers’ Compensation, pursuan</w:t>
      </w:r>
      <w:r w:rsidR="00911C9E" w:rsidRPr="003840A5">
        <w:rPr>
          <w:rFonts w:ascii="Arial" w:hAnsi="Arial" w:cs="Arial"/>
          <w:sz w:val="24"/>
          <w:szCs w:val="24"/>
        </w:rPr>
        <w:t>t to the authority vested in him</w:t>
      </w:r>
      <w:r w:rsidRPr="007F5A3D">
        <w:rPr>
          <w:rFonts w:ascii="Arial" w:hAnsi="Arial" w:cs="Arial"/>
          <w:sz w:val="24"/>
          <w:szCs w:val="24"/>
        </w:rPr>
        <w:t xml:space="preserve"> by Labor Code sections </w:t>
      </w:r>
      <w:r w:rsidR="0022689A" w:rsidRPr="0072734D">
        <w:rPr>
          <w:rFonts w:ascii="Arial" w:hAnsi="Arial" w:cs="Arial"/>
          <w:sz w:val="24"/>
          <w:szCs w:val="24"/>
        </w:rPr>
        <w:t xml:space="preserve">59, </w:t>
      </w:r>
      <w:r w:rsidR="005F4DDB" w:rsidRPr="009B3132">
        <w:rPr>
          <w:rFonts w:ascii="Arial" w:hAnsi="Arial" w:cs="Arial"/>
          <w:sz w:val="24"/>
          <w:szCs w:val="24"/>
        </w:rPr>
        <w:t xml:space="preserve">111, 133, </w:t>
      </w:r>
      <w:r w:rsidR="0022689A" w:rsidRPr="009B3132">
        <w:rPr>
          <w:rFonts w:ascii="Arial" w:hAnsi="Arial" w:cs="Arial"/>
          <w:sz w:val="24"/>
          <w:szCs w:val="24"/>
        </w:rPr>
        <w:t>139.2, 4603.5, 5307.3 and 5307</w:t>
      </w:r>
      <w:r w:rsidR="00667C00" w:rsidRPr="009B3132">
        <w:rPr>
          <w:rFonts w:ascii="Arial" w:hAnsi="Arial" w:cs="Arial"/>
          <w:sz w:val="24"/>
          <w:szCs w:val="24"/>
        </w:rPr>
        <w:t>,</w:t>
      </w:r>
      <w:r w:rsidR="0022689A" w:rsidRPr="009B3132">
        <w:rPr>
          <w:rFonts w:ascii="Arial" w:hAnsi="Arial" w:cs="Arial"/>
          <w:sz w:val="24"/>
          <w:szCs w:val="24"/>
        </w:rPr>
        <w:t xml:space="preserve"> </w:t>
      </w:r>
      <w:r w:rsidRPr="009B3132">
        <w:rPr>
          <w:rFonts w:ascii="Arial" w:hAnsi="Arial" w:cs="Arial"/>
          <w:sz w:val="24"/>
          <w:szCs w:val="24"/>
        </w:rPr>
        <w:t xml:space="preserve">proposes to </w:t>
      </w:r>
      <w:r w:rsidR="0022689A" w:rsidRPr="009B3132">
        <w:rPr>
          <w:rFonts w:ascii="Arial" w:hAnsi="Arial" w:cs="Arial"/>
          <w:sz w:val="24"/>
          <w:szCs w:val="24"/>
        </w:rPr>
        <w:t xml:space="preserve">reestablish </w:t>
      </w:r>
      <w:r w:rsidR="00911C9E" w:rsidRPr="009B3132">
        <w:rPr>
          <w:rFonts w:ascii="Arial" w:hAnsi="Arial" w:cs="Arial"/>
          <w:sz w:val="24"/>
          <w:szCs w:val="24"/>
        </w:rPr>
        <w:t xml:space="preserve">Subchapter 1 (Article </w:t>
      </w:r>
      <w:r w:rsidR="00997926">
        <w:rPr>
          <w:rFonts w:ascii="Arial" w:hAnsi="Arial" w:cs="Arial"/>
          <w:sz w:val="24"/>
          <w:szCs w:val="24"/>
        </w:rPr>
        <w:t>4</w:t>
      </w:r>
      <w:r w:rsidR="00911C9E" w:rsidRPr="009B3132">
        <w:rPr>
          <w:rFonts w:ascii="Arial" w:hAnsi="Arial" w:cs="Arial"/>
          <w:sz w:val="24"/>
          <w:szCs w:val="24"/>
        </w:rPr>
        <w:t xml:space="preserve">) </w:t>
      </w:r>
      <w:r w:rsidR="005F4DDB" w:rsidRPr="009B3132">
        <w:rPr>
          <w:rFonts w:ascii="Arial" w:hAnsi="Arial" w:cs="Arial"/>
          <w:sz w:val="24"/>
          <w:szCs w:val="24"/>
        </w:rPr>
        <w:t xml:space="preserve">of Chapter 4.5, of Title 8 California Code of Regulations, </w:t>
      </w:r>
      <w:r w:rsidR="00911C9E" w:rsidRPr="009B3132">
        <w:rPr>
          <w:rFonts w:ascii="Arial" w:hAnsi="Arial" w:cs="Arial"/>
          <w:sz w:val="24"/>
          <w:szCs w:val="24"/>
        </w:rPr>
        <w:t>and adopt section</w:t>
      </w:r>
      <w:r w:rsidR="0022689A" w:rsidRPr="009B3132">
        <w:rPr>
          <w:rFonts w:ascii="Arial" w:hAnsi="Arial" w:cs="Arial"/>
          <w:sz w:val="24"/>
          <w:szCs w:val="24"/>
        </w:rPr>
        <w:t xml:space="preserve"> </w:t>
      </w:r>
      <w:r w:rsidR="00997926">
        <w:rPr>
          <w:rFonts w:ascii="Arial" w:hAnsi="Arial" w:cs="Arial"/>
          <w:sz w:val="24"/>
          <w:szCs w:val="24"/>
        </w:rPr>
        <w:t>46.</w:t>
      </w:r>
      <w:r w:rsidR="00FF3572">
        <w:rPr>
          <w:rFonts w:ascii="Arial" w:hAnsi="Arial" w:cs="Arial"/>
          <w:sz w:val="24"/>
          <w:szCs w:val="24"/>
        </w:rPr>
        <w:t>3</w:t>
      </w:r>
      <w:r w:rsidR="0022689A" w:rsidRPr="009B3132">
        <w:rPr>
          <w:rFonts w:ascii="Arial" w:hAnsi="Arial" w:cs="Arial"/>
          <w:sz w:val="24"/>
          <w:szCs w:val="24"/>
        </w:rPr>
        <w:t>.</w:t>
      </w:r>
    </w:p>
    <w:p w14:paraId="53C04823"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INFORMATIVE DIGEST</w:t>
      </w:r>
    </w:p>
    <w:p w14:paraId="129C39F7" w14:textId="77777777" w:rsidR="0056561D" w:rsidRPr="009B3132" w:rsidRDefault="0056561D" w:rsidP="0056561D">
      <w:pPr>
        <w:rPr>
          <w:rFonts w:ascii="Arial" w:hAnsi="Arial" w:cs="Arial"/>
          <w:sz w:val="24"/>
          <w:szCs w:val="24"/>
        </w:rPr>
      </w:pPr>
      <w:r w:rsidRPr="009B3132">
        <w:rPr>
          <w:rFonts w:ascii="Arial" w:hAnsi="Arial" w:cs="Arial"/>
          <w:sz w:val="24"/>
          <w:szCs w:val="24"/>
        </w:rPr>
        <w:t xml:space="preserve">Summary of Existing Laws </w:t>
      </w:r>
    </w:p>
    <w:p w14:paraId="0E6864A4" w14:textId="77777777" w:rsidR="00667C00" w:rsidRPr="003840A5" w:rsidRDefault="00667C00" w:rsidP="0056561D">
      <w:pPr>
        <w:rPr>
          <w:rFonts w:ascii="Arial" w:hAnsi="Arial" w:cs="Arial"/>
          <w:sz w:val="24"/>
          <w:szCs w:val="24"/>
        </w:rPr>
      </w:pPr>
      <w:r w:rsidRPr="009B3132">
        <w:rPr>
          <w:rFonts w:ascii="Arial" w:hAnsi="Arial" w:cs="Arial"/>
          <w:b/>
          <w:sz w:val="24"/>
          <w:szCs w:val="24"/>
        </w:rPr>
        <w:t xml:space="preserve">Labor Code section 139.2 </w:t>
      </w:r>
      <w:r w:rsidRPr="009B3132">
        <w:rPr>
          <w:rFonts w:ascii="Arial" w:hAnsi="Arial" w:cs="Arial"/>
          <w:sz w:val="24"/>
          <w:szCs w:val="24"/>
        </w:rPr>
        <w:t xml:space="preserve">is the enabling statute enacted to establish the Qualified Medical Evaluator Program in the California </w:t>
      </w:r>
      <w:r w:rsidR="003840A5">
        <w:rPr>
          <w:rFonts w:ascii="Arial" w:hAnsi="Arial" w:cs="Arial"/>
          <w:sz w:val="24"/>
          <w:szCs w:val="24"/>
        </w:rPr>
        <w:t>w</w:t>
      </w:r>
      <w:r w:rsidRPr="003840A5">
        <w:rPr>
          <w:rFonts w:ascii="Arial" w:hAnsi="Arial" w:cs="Arial"/>
          <w:sz w:val="24"/>
          <w:szCs w:val="24"/>
        </w:rPr>
        <w:t xml:space="preserve">orkers’ </w:t>
      </w:r>
      <w:r w:rsidR="003840A5">
        <w:rPr>
          <w:rFonts w:ascii="Arial" w:hAnsi="Arial" w:cs="Arial"/>
          <w:sz w:val="24"/>
          <w:szCs w:val="24"/>
        </w:rPr>
        <w:t>c</w:t>
      </w:r>
      <w:r w:rsidRPr="003840A5">
        <w:rPr>
          <w:rFonts w:ascii="Arial" w:hAnsi="Arial" w:cs="Arial"/>
          <w:sz w:val="24"/>
          <w:szCs w:val="24"/>
        </w:rPr>
        <w:t xml:space="preserve">ompensation </w:t>
      </w:r>
      <w:r w:rsidR="003840A5">
        <w:rPr>
          <w:rFonts w:ascii="Arial" w:hAnsi="Arial" w:cs="Arial"/>
          <w:sz w:val="24"/>
          <w:szCs w:val="24"/>
        </w:rPr>
        <w:t>s</w:t>
      </w:r>
      <w:r w:rsidRPr="003840A5">
        <w:rPr>
          <w:rFonts w:ascii="Arial" w:hAnsi="Arial" w:cs="Arial"/>
          <w:sz w:val="24"/>
          <w:szCs w:val="24"/>
        </w:rPr>
        <w:t>ystem. Subsection (j)(1)(C)(2) empowers the Administrative Director to develop procedures to be followed by all physicians in evaluating the existence and extent of permanent impairment and limitations resulting from an injury. Subsection (j)(5)(A) directs the Administrative Director to establish minimum times for patient contact for any medical</w:t>
      </w:r>
      <w:r w:rsidR="003840A5">
        <w:rPr>
          <w:rFonts w:ascii="Arial" w:hAnsi="Arial" w:cs="Arial"/>
          <w:sz w:val="24"/>
          <w:szCs w:val="24"/>
        </w:rPr>
        <w:t>-</w:t>
      </w:r>
      <w:r w:rsidRPr="003840A5">
        <w:rPr>
          <w:rFonts w:ascii="Arial" w:hAnsi="Arial" w:cs="Arial"/>
          <w:sz w:val="24"/>
          <w:szCs w:val="24"/>
        </w:rPr>
        <w:t xml:space="preserve">legal evaluations that are not valued pursuant to </w:t>
      </w:r>
      <w:r w:rsidR="003840A5">
        <w:rPr>
          <w:rFonts w:ascii="Arial" w:hAnsi="Arial" w:cs="Arial"/>
          <w:sz w:val="24"/>
          <w:szCs w:val="24"/>
        </w:rPr>
        <w:t>L</w:t>
      </w:r>
      <w:r w:rsidRPr="003840A5">
        <w:rPr>
          <w:rFonts w:ascii="Arial" w:hAnsi="Arial" w:cs="Arial"/>
          <w:sz w:val="24"/>
          <w:szCs w:val="24"/>
        </w:rPr>
        <w:t xml:space="preserve">abor </w:t>
      </w:r>
      <w:r w:rsidR="003840A5">
        <w:rPr>
          <w:rFonts w:ascii="Arial" w:hAnsi="Arial" w:cs="Arial"/>
          <w:sz w:val="24"/>
          <w:szCs w:val="24"/>
        </w:rPr>
        <w:t>C</w:t>
      </w:r>
      <w:r w:rsidRPr="003840A5">
        <w:rPr>
          <w:rFonts w:ascii="Arial" w:hAnsi="Arial" w:cs="Arial"/>
          <w:sz w:val="24"/>
          <w:szCs w:val="24"/>
        </w:rPr>
        <w:t xml:space="preserve">ode section 5307.6. </w:t>
      </w:r>
    </w:p>
    <w:p w14:paraId="55E9ABFD" w14:textId="77777777" w:rsidR="00C75D13" w:rsidRPr="003840A5" w:rsidRDefault="00667C00" w:rsidP="0056561D">
      <w:pPr>
        <w:rPr>
          <w:rFonts w:ascii="Arial" w:hAnsi="Arial" w:cs="Arial"/>
          <w:sz w:val="24"/>
          <w:szCs w:val="24"/>
        </w:rPr>
      </w:pPr>
      <w:r w:rsidRPr="003840A5">
        <w:rPr>
          <w:rFonts w:ascii="Arial" w:hAnsi="Arial" w:cs="Arial"/>
          <w:b/>
          <w:sz w:val="24"/>
          <w:szCs w:val="24"/>
        </w:rPr>
        <w:t>Labor Code section 4628</w:t>
      </w:r>
      <w:r w:rsidRPr="003840A5">
        <w:rPr>
          <w:rFonts w:ascii="Arial" w:hAnsi="Arial" w:cs="Arial"/>
          <w:sz w:val="24"/>
          <w:szCs w:val="24"/>
        </w:rPr>
        <w:t xml:space="preserve"> </w:t>
      </w:r>
      <w:r w:rsidR="00C75D13" w:rsidRPr="003840A5">
        <w:rPr>
          <w:rFonts w:ascii="Arial" w:hAnsi="Arial" w:cs="Arial"/>
          <w:sz w:val="24"/>
          <w:szCs w:val="24"/>
        </w:rPr>
        <w:t xml:space="preserve">is an anti-ghostwriting statue enacted to govern the responsibilities of a reporting physician and requirements for a medical-legal report. An examination of the injured worker is one of the requirements enumerated in this statute. </w:t>
      </w:r>
    </w:p>
    <w:p w14:paraId="0077DC89" w14:textId="77777777" w:rsidR="00667C00" w:rsidRPr="003840A5" w:rsidRDefault="00C75D13" w:rsidP="0056561D">
      <w:pPr>
        <w:rPr>
          <w:rFonts w:ascii="Arial" w:hAnsi="Arial" w:cs="Arial"/>
          <w:sz w:val="24"/>
          <w:szCs w:val="24"/>
        </w:rPr>
      </w:pPr>
      <w:r w:rsidRPr="007F5A3D">
        <w:rPr>
          <w:rFonts w:ascii="Arial" w:hAnsi="Arial" w:cs="Arial"/>
          <w:b/>
          <w:sz w:val="24"/>
          <w:szCs w:val="24"/>
        </w:rPr>
        <w:t xml:space="preserve">Labor Code </w:t>
      </w:r>
      <w:r w:rsidRPr="0072734D">
        <w:rPr>
          <w:rFonts w:ascii="Arial" w:hAnsi="Arial" w:cs="Arial"/>
          <w:b/>
          <w:sz w:val="24"/>
          <w:szCs w:val="24"/>
        </w:rPr>
        <w:t xml:space="preserve">section 5307.6 </w:t>
      </w:r>
      <w:r w:rsidRPr="009B3132">
        <w:rPr>
          <w:rFonts w:ascii="Arial" w:hAnsi="Arial" w:cs="Arial"/>
          <w:sz w:val="24"/>
          <w:szCs w:val="24"/>
        </w:rPr>
        <w:t xml:space="preserve">is the enabling statute directing the </w:t>
      </w:r>
      <w:r w:rsidR="00F339BD" w:rsidRPr="009B3132">
        <w:rPr>
          <w:rFonts w:ascii="Arial" w:hAnsi="Arial" w:cs="Arial"/>
          <w:sz w:val="24"/>
          <w:szCs w:val="24"/>
        </w:rPr>
        <w:t xml:space="preserve">Administrative Director </w:t>
      </w:r>
      <w:r w:rsidRPr="009B3132">
        <w:rPr>
          <w:rFonts w:ascii="Arial" w:hAnsi="Arial" w:cs="Arial"/>
          <w:sz w:val="24"/>
          <w:szCs w:val="24"/>
        </w:rPr>
        <w:t>to adopt and revise a fee schedule for medical</w:t>
      </w:r>
      <w:r w:rsidR="003840A5">
        <w:rPr>
          <w:rFonts w:ascii="Arial" w:hAnsi="Arial" w:cs="Arial"/>
          <w:sz w:val="24"/>
          <w:szCs w:val="24"/>
        </w:rPr>
        <w:t>-</w:t>
      </w:r>
      <w:r w:rsidRPr="003840A5">
        <w:rPr>
          <w:rFonts w:ascii="Arial" w:hAnsi="Arial" w:cs="Arial"/>
          <w:sz w:val="24"/>
          <w:szCs w:val="24"/>
        </w:rPr>
        <w:t xml:space="preserve">legal expenses. Subsection (a) </w:t>
      </w:r>
      <w:r w:rsidR="00F339BD" w:rsidRPr="003840A5">
        <w:rPr>
          <w:rFonts w:ascii="Arial" w:hAnsi="Arial" w:cs="Arial"/>
          <w:sz w:val="24"/>
          <w:szCs w:val="24"/>
        </w:rPr>
        <w:t xml:space="preserve">mandates </w:t>
      </w:r>
      <w:r w:rsidRPr="003840A5">
        <w:rPr>
          <w:rFonts w:ascii="Arial" w:hAnsi="Arial" w:cs="Arial"/>
          <w:sz w:val="24"/>
          <w:szCs w:val="24"/>
        </w:rPr>
        <w:t>that the procedure codes and relative values used in producing fees shall recognize the amount of time spent by the p</w:t>
      </w:r>
      <w:r w:rsidR="00F339BD" w:rsidRPr="003840A5">
        <w:rPr>
          <w:rFonts w:ascii="Arial" w:hAnsi="Arial" w:cs="Arial"/>
          <w:sz w:val="24"/>
          <w:szCs w:val="24"/>
        </w:rPr>
        <w:t>hysician</w:t>
      </w:r>
      <w:r w:rsidRPr="003840A5">
        <w:rPr>
          <w:rFonts w:ascii="Arial" w:hAnsi="Arial" w:cs="Arial"/>
          <w:sz w:val="24"/>
          <w:szCs w:val="24"/>
        </w:rPr>
        <w:t xml:space="preserve"> in direct contact with the patient. </w:t>
      </w:r>
    </w:p>
    <w:p w14:paraId="11541C29" w14:textId="77777777" w:rsidR="007D5045" w:rsidRPr="007F5A3D" w:rsidRDefault="007D5045" w:rsidP="007D5045">
      <w:pPr>
        <w:rPr>
          <w:rFonts w:ascii="Arial" w:hAnsi="Arial" w:cs="Arial"/>
          <w:b/>
          <w:sz w:val="24"/>
          <w:szCs w:val="24"/>
          <w:u w:val="single"/>
        </w:rPr>
      </w:pPr>
      <w:r w:rsidRPr="007F5A3D">
        <w:rPr>
          <w:rFonts w:ascii="Arial" w:hAnsi="Arial" w:cs="Arial"/>
          <w:b/>
          <w:sz w:val="24"/>
          <w:szCs w:val="24"/>
          <w:u w:val="single"/>
        </w:rPr>
        <w:t>TECHNICAL, THEORETICAL, OR EMPIRICAL STUDIES, REPORTS, OR DOCUMENTS RELIED UPON</w:t>
      </w:r>
    </w:p>
    <w:p w14:paraId="62C900B3" w14:textId="77777777" w:rsidR="00997926" w:rsidRPr="00997926" w:rsidRDefault="00997926"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lastRenderedPageBreak/>
        <w:t xml:space="preserve">California’s Current Safety Measures and What to do now. August 11, 2021. </w:t>
      </w:r>
      <w:r w:rsidR="003C6F83" w:rsidRPr="00997926">
        <w:rPr>
          <w:rFonts w:ascii="Arial" w:eastAsia="Times New Roman" w:hAnsi="Arial" w:cs="Arial"/>
          <w:color w:val="0563C1"/>
          <w:sz w:val="24"/>
          <w:szCs w:val="24"/>
          <w:u w:val="single"/>
        </w:rPr>
        <w:t>https://covid19.ca.gov/safely-reopening/#what-to-do-now</w:t>
      </w:r>
    </w:p>
    <w:p w14:paraId="542CB405" w14:textId="77777777" w:rsidR="00997926" w:rsidRPr="00997926" w:rsidRDefault="00997926" w:rsidP="003C6F83">
      <w:pPr>
        <w:spacing w:after="0" w:line="240" w:lineRule="auto"/>
        <w:contextualSpacing/>
        <w:rPr>
          <w:rFonts w:ascii="Arial" w:eastAsia="Times New Roman" w:hAnsi="Arial" w:cs="Arial"/>
          <w:sz w:val="24"/>
          <w:szCs w:val="24"/>
        </w:rPr>
      </w:pPr>
    </w:p>
    <w:p w14:paraId="52031602" w14:textId="77777777" w:rsidR="00676B2D" w:rsidRPr="003C6F83" w:rsidRDefault="00676B2D"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Pr>
          <w:rFonts w:ascii="Arial" w:hAnsi="Arial" w:cs="Arial"/>
          <w:color w:val="000000"/>
          <w:sz w:val="24"/>
          <w:szCs w:val="24"/>
        </w:rPr>
        <w:t xml:space="preserve"> EXECUTIVE ORDER N-16-21</w:t>
      </w:r>
      <w:r w:rsidRPr="00997926">
        <w:rPr>
          <w:rFonts w:ascii="Arial" w:hAnsi="Arial" w:cs="Arial"/>
          <w:color w:val="000000"/>
          <w:sz w:val="24"/>
          <w:szCs w:val="24"/>
        </w:rPr>
        <w:t xml:space="preserve">, </w:t>
      </w:r>
      <w:r>
        <w:rPr>
          <w:rFonts w:ascii="Arial" w:hAnsi="Arial" w:cs="Arial"/>
          <w:color w:val="000000"/>
          <w:sz w:val="24"/>
          <w:szCs w:val="24"/>
        </w:rPr>
        <w:t>September 27, 2021</w:t>
      </w:r>
    </w:p>
    <w:p w14:paraId="5B701DAC" w14:textId="77777777" w:rsidR="00F737C5" w:rsidRDefault="002128B9" w:rsidP="003C6F83">
      <w:pPr>
        <w:autoSpaceDE w:val="0"/>
        <w:autoSpaceDN w:val="0"/>
        <w:adjustRightInd w:val="0"/>
        <w:spacing w:after="0" w:line="240" w:lineRule="auto"/>
        <w:ind w:left="720"/>
        <w:rPr>
          <w:color w:val="0000FF"/>
          <w:u w:val="single"/>
        </w:rPr>
      </w:pPr>
      <w:hyperlink r:id="rId11" w:history="1">
        <w:r w:rsidR="00F737C5" w:rsidRPr="00883DED">
          <w:rPr>
            <w:rStyle w:val="Hyperlink"/>
          </w:rPr>
          <w:t>https://www.gov.ca.gov/wp-content/uploads/2021/09/9.27.21-Telehealth-EO.pdf</w:t>
        </w:r>
      </w:hyperlink>
    </w:p>
    <w:p w14:paraId="772F2C3E" w14:textId="77777777" w:rsidR="00676B2D" w:rsidRPr="003C6F83" w:rsidRDefault="00676B2D" w:rsidP="003C6F83">
      <w:pPr>
        <w:autoSpaceDE w:val="0"/>
        <w:autoSpaceDN w:val="0"/>
        <w:adjustRightInd w:val="0"/>
        <w:spacing w:after="0" w:line="240" w:lineRule="auto"/>
        <w:ind w:left="720"/>
        <w:rPr>
          <w:rFonts w:ascii="Arial" w:eastAsia="Times New Roman" w:hAnsi="Arial" w:cs="Arial"/>
          <w:color w:val="000000"/>
          <w:sz w:val="24"/>
          <w:szCs w:val="24"/>
        </w:rPr>
      </w:pPr>
    </w:p>
    <w:p w14:paraId="67C141C7" w14:textId="77777777" w:rsidR="00676B2D" w:rsidRDefault="00676B2D"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Pr>
          <w:rFonts w:ascii="Arial" w:hAnsi="Arial" w:cs="Arial"/>
          <w:color w:val="000000"/>
          <w:sz w:val="24"/>
          <w:szCs w:val="24"/>
        </w:rPr>
        <w:t xml:space="preserve"> EXECUTIVE ORDER N-4</w:t>
      </w:r>
      <w:r w:rsidRPr="00997926">
        <w:rPr>
          <w:rFonts w:ascii="Arial" w:hAnsi="Arial" w:cs="Arial"/>
          <w:color w:val="000000"/>
          <w:sz w:val="24"/>
          <w:szCs w:val="24"/>
        </w:rPr>
        <w:t xml:space="preserve">3-20, </w:t>
      </w:r>
      <w:r>
        <w:rPr>
          <w:rFonts w:ascii="Arial" w:hAnsi="Arial" w:cs="Arial"/>
          <w:color w:val="000000"/>
          <w:sz w:val="24"/>
          <w:szCs w:val="24"/>
        </w:rPr>
        <w:t>April 3, 2020</w:t>
      </w:r>
      <w:r w:rsidRPr="00997926">
        <w:rPr>
          <w:rFonts w:ascii="Arial" w:hAnsi="Arial" w:cs="Arial"/>
          <w:color w:val="000000"/>
          <w:sz w:val="24"/>
          <w:szCs w:val="24"/>
        </w:rPr>
        <w:t xml:space="preserve"> </w:t>
      </w:r>
      <w:r w:rsidRPr="00997926">
        <w:rPr>
          <w:rFonts w:ascii="Arial" w:eastAsia="Times New Roman" w:hAnsi="Arial" w:cs="Arial"/>
          <w:color w:val="000000"/>
          <w:sz w:val="24"/>
          <w:szCs w:val="24"/>
        </w:rPr>
        <w:t xml:space="preserve"> </w:t>
      </w:r>
    </w:p>
    <w:p w14:paraId="7C0567D9" w14:textId="77777777" w:rsidR="00F737C5" w:rsidRDefault="002128B9" w:rsidP="003C6F83">
      <w:pPr>
        <w:autoSpaceDE w:val="0"/>
        <w:autoSpaceDN w:val="0"/>
        <w:adjustRightInd w:val="0"/>
        <w:spacing w:after="0" w:line="240" w:lineRule="auto"/>
        <w:ind w:left="720"/>
        <w:rPr>
          <w:color w:val="0000FF"/>
          <w:u w:val="single"/>
        </w:rPr>
      </w:pPr>
      <w:hyperlink r:id="rId12" w:history="1">
        <w:r w:rsidR="00F737C5" w:rsidRPr="00883DED">
          <w:rPr>
            <w:rStyle w:val="Hyperlink"/>
          </w:rPr>
          <w:t>https://www.gov.ca.gov/wp-content/uploads/2020/04/4.3.20-EO-N-43-20.pdf</w:t>
        </w:r>
      </w:hyperlink>
    </w:p>
    <w:p w14:paraId="766DF9FF" w14:textId="77777777" w:rsidR="003C6F83" w:rsidRDefault="003C6F83" w:rsidP="003C6F83">
      <w:pPr>
        <w:autoSpaceDE w:val="0"/>
        <w:autoSpaceDN w:val="0"/>
        <w:adjustRightInd w:val="0"/>
        <w:spacing w:after="0" w:line="240" w:lineRule="auto"/>
        <w:ind w:left="720"/>
        <w:rPr>
          <w:rFonts w:ascii="Arial" w:eastAsia="Times New Roman" w:hAnsi="Arial" w:cs="Arial"/>
          <w:color w:val="000000"/>
          <w:sz w:val="24"/>
          <w:szCs w:val="24"/>
        </w:rPr>
      </w:pPr>
    </w:p>
    <w:p w14:paraId="741CA9BD" w14:textId="77777777" w:rsidR="00997926" w:rsidRPr="00997926" w:rsidRDefault="00997926" w:rsidP="00997926">
      <w:pPr>
        <w:numPr>
          <w:ilvl w:val="0"/>
          <w:numId w:val="27"/>
        </w:numPr>
        <w:autoSpaceDE w:val="0"/>
        <w:autoSpaceDN w:val="0"/>
        <w:adjustRightInd w:val="0"/>
        <w:spacing w:after="0" w:line="240" w:lineRule="auto"/>
        <w:rPr>
          <w:rFonts w:ascii="Arial" w:eastAsia="Times New Roman" w:hAnsi="Arial" w:cs="Arial"/>
          <w:color w:val="000000"/>
          <w:sz w:val="24"/>
          <w:szCs w:val="24"/>
        </w:rPr>
      </w:pPr>
      <w:r w:rsidRPr="00997926">
        <w:rPr>
          <w:rFonts w:ascii="Arial" w:eastAsia="Times New Roman" w:hAnsi="Arial" w:cs="Arial"/>
          <w:color w:val="000000"/>
          <w:sz w:val="24"/>
          <w:szCs w:val="24"/>
        </w:rPr>
        <w:t xml:space="preserve">Governor Gavin Newsom -  </w:t>
      </w:r>
      <w:r w:rsidRPr="00997926">
        <w:rPr>
          <w:rFonts w:ascii="Arial" w:hAnsi="Arial" w:cs="Arial"/>
          <w:color w:val="000000"/>
          <w:sz w:val="24"/>
          <w:szCs w:val="24"/>
        </w:rPr>
        <w:t xml:space="preserve"> EXECUTIVE ORDER N-33-20, March 19, 2020 </w:t>
      </w:r>
      <w:r w:rsidRPr="00997926">
        <w:rPr>
          <w:rFonts w:ascii="Arial" w:eastAsia="Times New Roman" w:hAnsi="Arial" w:cs="Arial"/>
          <w:color w:val="000000"/>
          <w:sz w:val="24"/>
          <w:szCs w:val="24"/>
        </w:rPr>
        <w:t xml:space="preserve"> </w:t>
      </w:r>
      <w:hyperlink r:id="rId13" w:history="1">
        <w:r w:rsidRPr="00997926">
          <w:rPr>
            <w:rFonts w:ascii="Arial" w:eastAsia="Times New Roman" w:hAnsi="Arial" w:cs="Arial"/>
            <w:color w:val="0563C1"/>
            <w:sz w:val="24"/>
            <w:szCs w:val="24"/>
            <w:u w:val="single"/>
          </w:rPr>
          <w:t>https://www.gov.ca.gov/wp-content/uploads/2020/03/EO-N-33-20-COVID-19-HEALTH-ORDER-03.19.2020-002.pdf</w:t>
        </w:r>
      </w:hyperlink>
    </w:p>
    <w:p w14:paraId="0AA8AC7A" w14:textId="77777777" w:rsidR="00997926" w:rsidRPr="00997926" w:rsidRDefault="00997926" w:rsidP="00997926">
      <w:pPr>
        <w:autoSpaceDE w:val="0"/>
        <w:autoSpaceDN w:val="0"/>
        <w:adjustRightInd w:val="0"/>
        <w:spacing w:after="0" w:line="240" w:lineRule="auto"/>
        <w:ind w:left="720"/>
        <w:rPr>
          <w:rFonts w:ascii="Arial" w:eastAsia="Times New Roman" w:hAnsi="Arial" w:cs="Arial"/>
          <w:color w:val="000000"/>
          <w:sz w:val="24"/>
          <w:szCs w:val="24"/>
        </w:rPr>
      </w:pPr>
    </w:p>
    <w:p w14:paraId="03ED7EB2" w14:textId="77777777" w:rsidR="00997926" w:rsidRPr="00997926" w:rsidRDefault="00997926" w:rsidP="00997926">
      <w:pPr>
        <w:numPr>
          <w:ilvl w:val="0"/>
          <w:numId w:val="25"/>
        </w:numPr>
        <w:rPr>
          <w:rFonts w:ascii="Arial" w:eastAsia="Times New Roman" w:hAnsi="Arial" w:cs="Arial"/>
          <w:sz w:val="24"/>
          <w:szCs w:val="24"/>
        </w:rPr>
      </w:pPr>
      <w:r w:rsidRPr="00997926">
        <w:rPr>
          <w:rFonts w:ascii="Arial" w:eastAsia="Times New Roman" w:hAnsi="Arial" w:cs="Arial"/>
          <w:sz w:val="24"/>
          <w:szCs w:val="24"/>
        </w:rPr>
        <w:t>Centers for Disease Control, web link, “How to Protect Yourself”</w:t>
      </w:r>
      <w:r w:rsidRPr="00997926">
        <w:rPr>
          <w:rFonts w:ascii="Arial" w:hAnsi="Arial" w:cs="Arial"/>
          <w:sz w:val="24"/>
          <w:szCs w:val="24"/>
        </w:rPr>
        <w:t xml:space="preserve"> </w:t>
      </w:r>
      <w:hyperlink r:id="rId14" w:history="1">
        <w:r w:rsidRPr="00997926">
          <w:rPr>
            <w:rFonts w:ascii="Arial" w:eastAsia="Times New Roman" w:hAnsi="Arial" w:cs="Arial"/>
            <w:color w:val="0563C1"/>
            <w:sz w:val="24"/>
            <w:szCs w:val="24"/>
            <w:u w:val="single"/>
          </w:rPr>
          <w:t>https://www.cdc.gov/coronavirus/2019-ncov/prevent-getting-sick/prevention.html</w:t>
        </w:r>
      </w:hyperlink>
    </w:p>
    <w:p w14:paraId="492212E2" w14:textId="77777777" w:rsidR="0056561D" w:rsidRPr="003D61FF" w:rsidRDefault="007D5045" w:rsidP="0056561D">
      <w:pPr>
        <w:rPr>
          <w:rFonts w:ascii="Arial" w:hAnsi="Arial" w:cs="Arial"/>
          <w:b/>
          <w:sz w:val="24"/>
          <w:szCs w:val="24"/>
          <w:u w:val="single"/>
        </w:rPr>
      </w:pPr>
      <w:r w:rsidRPr="003D61FF">
        <w:rPr>
          <w:rFonts w:ascii="Arial" w:hAnsi="Arial" w:cs="Arial"/>
          <w:b/>
          <w:sz w:val="24"/>
          <w:szCs w:val="24"/>
          <w:u w:val="single"/>
        </w:rPr>
        <w:t xml:space="preserve">SUMMARY OF PROPOSED REGULATIONS </w:t>
      </w:r>
    </w:p>
    <w:p w14:paraId="3B3B45FD" w14:textId="77777777" w:rsidR="0056561D" w:rsidRPr="003840A5" w:rsidRDefault="0056561D" w:rsidP="0056561D">
      <w:pPr>
        <w:rPr>
          <w:rFonts w:ascii="Arial" w:hAnsi="Arial" w:cs="Arial"/>
          <w:sz w:val="24"/>
          <w:szCs w:val="24"/>
        </w:rPr>
      </w:pPr>
      <w:r w:rsidRPr="003D61FF">
        <w:rPr>
          <w:rFonts w:ascii="Arial" w:hAnsi="Arial" w:cs="Arial"/>
          <w:sz w:val="24"/>
          <w:szCs w:val="24"/>
        </w:rPr>
        <w:t>The Administra</w:t>
      </w:r>
      <w:r w:rsidR="00911C9E" w:rsidRPr="003D61FF">
        <w:rPr>
          <w:rFonts w:ascii="Arial" w:hAnsi="Arial" w:cs="Arial"/>
          <w:sz w:val="24"/>
          <w:szCs w:val="24"/>
        </w:rPr>
        <w:t xml:space="preserve">tive Director adopts </w:t>
      </w:r>
      <w:r w:rsidR="00ED2C53" w:rsidRPr="003D61FF">
        <w:rPr>
          <w:rFonts w:ascii="Arial" w:hAnsi="Arial" w:cs="Arial"/>
          <w:sz w:val="24"/>
          <w:szCs w:val="24"/>
        </w:rPr>
        <w:t xml:space="preserve">an </w:t>
      </w:r>
      <w:r w:rsidRPr="003D61FF">
        <w:rPr>
          <w:rFonts w:ascii="Arial" w:hAnsi="Arial" w:cs="Arial"/>
          <w:sz w:val="24"/>
          <w:szCs w:val="24"/>
        </w:rPr>
        <w:t>administrativ</w:t>
      </w:r>
      <w:r w:rsidR="00ED2C53" w:rsidRPr="003D61FF">
        <w:rPr>
          <w:rFonts w:ascii="Arial" w:hAnsi="Arial" w:cs="Arial"/>
          <w:sz w:val="24"/>
          <w:szCs w:val="24"/>
        </w:rPr>
        <w:t>e regulation</w:t>
      </w:r>
      <w:r w:rsidR="00911C9E" w:rsidRPr="003840A5">
        <w:rPr>
          <w:rFonts w:ascii="Arial" w:hAnsi="Arial" w:cs="Arial"/>
          <w:sz w:val="24"/>
          <w:szCs w:val="24"/>
        </w:rPr>
        <w:t xml:space="preserve"> governing </w:t>
      </w:r>
      <w:r w:rsidR="00ED2C53" w:rsidRPr="003840A5">
        <w:rPr>
          <w:rFonts w:ascii="Arial" w:hAnsi="Arial" w:cs="Arial"/>
          <w:sz w:val="24"/>
          <w:szCs w:val="24"/>
        </w:rPr>
        <w:t>the provision of telehealth medical</w:t>
      </w:r>
      <w:r w:rsidR="003840A5">
        <w:rPr>
          <w:rFonts w:ascii="Arial" w:hAnsi="Arial" w:cs="Arial"/>
          <w:sz w:val="24"/>
          <w:szCs w:val="24"/>
        </w:rPr>
        <w:t>-legal</w:t>
      </w:r>
      <w:r w:rsidR="00ED2C53" w:rsidRPr="003840A5">
        <w:rPr>
          <w:rFonts w:ascii="Arial" w:hAnsi="Arial" w:cs="Arial"/>
          <w:sz w:val="24"/>
          <w:szCs w:val="24"/>
        </w:rPr>
        <w:t xml:space="preserve"> evaluations</w:t>
      </w:r>
      <w:r w:rsidR="00997926">
        <w:rPr>
          <w:rFonts w:ascii="Arial" w:hAnsi="Arial" w:cs="Arial"/>
          <w:sz w:val="24"/>
          <w:szCs w:val="24"/>
        </w:rPr>
        <w:t xml:space="preserve"> </w:t>
      </w:r>
      <w:r w:rsidR="003C6F83">
        <w:rPr>
          <w:rFonts w:ascii="Arial" w:hAnsi="Arial" w:cs="Arial"/>
          <w:sz w:val="24"/>
          <w:szCs w:val="24"/>
        </w:rPr>
        <w:t xml:space="preserve">and office location flexibility </w:t>
      </w:r>
      <w:r w:rsidR="00ED2C53" w:rsidRPr="003840A5">
        <w:rPr>
          <w:rFonts w:ascii="Arial" w:hAnsi="Arial" w:cs="Arial"/>
          <w:sz w:val="24"/>
          <w:szCs w:val="24"/>
        </w:rPr>
        <w:t xml:space="preserve">during the pendency of the </w:t>
      </w:r>
      <w:r w:rsidR="003840A5">
        <w:rPr>
          <w:rFonts w:ascii="Arial" w:hAnsi="Arial" w:cs="Arial"/>
          <w:sz w:val="24"/>
          <w:szCs w:val="24"/>
        </w:rPr>
        <w:t>COVID-</w:t>
      </w:r>
      <w:r w:rsidR="00ED2C53" w:rsidRPr="003840A5">
        <w:rPr>
          <w:rFonts w:ascii="Arial" w:hAnsi="Arial" w:cs="Arial"/>
          <w:sz w:val="24"/>
          <w:szCs w:val="24"/>
        </w:rPr>
        <w:t xml:space="preserve">19 </w:t>
      </w:r>
      <w:r w:rsidR="00024136">
        <w:rPr>
          <w:rFonts w:ascii="Arial" w:hAnsi="Arial" w:cs="Arial"/>
          <w:sz w:val="24"/>
          <w:szCs w:val="24"/>
        </w:rPr>
        <w:t>medical crisis</w:t>
      </w:r>
      <w:r w:rsidRPr="003840A5">
        <w:rPr>
          <w:rFonts w:ascii="Arial" w:hAnsi="Arial" w:cs="Arial"/>
          <w:sz w:val="24"/>
          <w:szCs w:val="24"/>
        </w:rPr>
        <w:t>. Th</w:t>
      </w:r>
      <w:r w:rsidR="003840A5">
        <w:rPr>
          <w:rFonts w:ascii="Arial" w:hAnsi="Arial" w:cs="Arial"/>
          <w:sz w:val="24"/>
          <w:szCs w:val="24"/>
        </w:rPr>
        <w:t>is</w:t>
      </w:r>
      <w:r w:rsidRPr="003840A5">
        <w:rPr>
          <w:rFonts w:ascii="Arial" w:hAnsi="Arial" w:cs="Arial"/>
          <w:sz w:val="24"/>
          <w:szCs w:val="24"/>
        </w:rPr>
        <w:t xml:space="preserve"> regulation implement</w:t>
      </w:r>
      <w:r w:rsidR="00ED2C53" w:rsidRPr="003840A5">
        <w:rPr>
          <w:rFonts w:ascii="Arial" w:hAnsi="Arial" w:cs="Arial"/>
          <w:sz w:val="24"/>
          <w:szCs w:val="24"/>
        </w:rPr>
        <w:t>s</w:t>
      </w:r>
      <w:r w:rsidRPr="003840A5">
        <w:rPr>
          <w:rFonts w:ascii="Arial" w:hAnsi="Arial" w:cs="Arial"/>
          <w:sz w:val="24"/>
          <w:szCs w:val="24"/>
        </w:rPr>
        <w:t>, interpret</w:t>
      </w:r>
      <w:r w:rsidR="00ED2C53" w:rsidRPr="003840A5">
        <w:rPr>
          <w:rFonts w:ascii="Arial" w:hAnsi="Arial" w:cs="Arial"/>
          <w:sz w:val="24"/>
          <w:szCs w:val="24"/>
        </w:rPr>
        <w:t>s</w:t>
      </w:r>
      <w:r w:rsidRPr="003840A5">
        <w:rPr>
          <w:rFonts w:ascii="Arial" w:hAnsi="Arial" w:cs="Arial"/>
          <w:sz w:val="24"/>
          <w:szCs w:val="24"/>
        </w:rPr>
        <w:t>, and make</w:t>
      </w:r>
      <w:r w:rsidR="00ED2C53" w:rsidRPr="003840A5">
        <w:rPr>
          <w:rFonts w:ascii="Arial" w:hAnsi="Arial" w:cs="Arial"/>
          <w:sz w:val="24"/>
          <w:szCs w:val="24"/>
        </w:rPr>
        <w:t>s</w:t>
      </w:r>
      <w:r w:rsidRPr="003840A5">
        <w:rPr>
          <w:rFonts w:ascii="Arial" w:hAnsi="Arial" w:cs="Arial"/>
          <w:sz w:val="24"/>
          <w:szCs w:val="24"/>
        </w:rPr>
        <w:t xml:space="preserve"> specific </w:t>
      </w:r>
      <w:r w:rsidR="007D5045" w:rsidRPr="003840A5">
        <w:rPr>
          <w:rFonts w:ascii="Arial" w:hAnsi="Arial" w:cs="Arial"/>
          <w:sz w:val="24"/>
          <w:szCs w:val="24"/>
        </w:rPr>
        <w:t>Labor Code section</w:t>
      </w:r>
      <w:r w:rsidR="00ED2C53" w:rsidRPr="003840A5">
        <w:rPr>
          <w:rFonts w:ascii="Arial" w:hAnsi="Arial" w:cs="Arial"/>
          <w:sz w:val="24"/>
          <w:szCs w:val="24"/>
        </w:rPr>
        <w:t xml:space="preserve">s 139.2, 4628, and </w:t>
      </w:r>
      <w:r w:rsidR="003840A5">
        <w:rPr>
          <w:rFonts w:ascii="Arial" w:hAnsi="Arial" w:cs="Arial"/>
          <w:sz w:val="24"/>
          <w:szCs w:val="24"/>
        </w:rPr>
        <w:t>5307.6</w:t>
      </w:r>
      <w:r w:rsidR="00ED2C53" w:rsidRPr="003840A5">
        <w:rPr>
          <w:rFonts w:ascii="Arial" w:hAnsi="Arial" w:cs="Arial"/>
          <w:sz w:val="24"/>
          <w:szCs w:val="24"/>
        </w:rPr>
        <w:t xml:space="preserve"> during the pendency of the </w:t>
      </w:r>
      <w:r w:rsidR="00024136">
        <w:rPr>
          <w:rFonts w:ascii="Arial" w:hAnsi="Arial" w:cs="Arial"/>
          <w:sz w:val="24"/>
          <w:szCs w:val="24"/>
        </w:rPr>
        <w:t xml:space="preserve">COVID-19 medical crisis </w:t>
      </w:r>
      <w:r w:rsidRPr="003840A5">
        <w:rPr>
          <w:rFonts w:ascii="Arial" w:hAnsi="Arial" w:cs="Arial"/>
          <w:sz w:val="24"/>
          <w:szCs w:val="24"/>
        </w:rPr>
        <w:t>as follows:</w:t>
      </w:r>
    </w:p>
    <w:p w14:paraId="6BF8C53D" w14:textId="77777777" w:rsidR="00ED2C53" w:rsidRPr="003840A5" w:rsidRDefault="00767437" w:rsidP="00ED2C53">
      <w:pPr>
        <w:rPr>
          <w:rFonts w:ascii="Arial" w:eastAsia="Times New Roman" w:hAnsi="Arial" w:cs="Arial"/>
          <w:b/>
          <w:color w:val="000000"/>
          <w:sz w:val="24"/>
          <w:szCs w:val="24"/>
        </w:rPr>
      </w:pPr>
      <w:r w:rsidRPr="003840A5">
        <w:rPr>
          <w:rFonts w:ascii="Arial" w:hAnsi="Arial" w:cs="Arial"/>
          <w:b/>
          <w:sz w:val="24"/>
          <w:szCs w:val="24"/>
        </w:rPr>
        <w:t xml:space="preserve">Section </w:t>
      </w:r>
      <w:r w:rsidR="00024136">
        <w:rPr>
          <w:rFonts w:ascii="Arial" w:hAnsi="Arial" w:cs="Arial"/>
          <w:b/>
          <w:sz w:val="24"/>
          <w:szCs w:val="24"/>
        </w:rPr>
        <w:t>46.</w:t>
      </w:r>
      <w:r w:rsidR="00310314">
        <w:rPr>
          <w:rFonts w:ascii="Arial" w:hAnsi="Arial" w:cs="Arial"/>
          <w:b/>
          <w:sz w:val="24"/>
          <w:szCs w:val="24"/>
        </w:rPr>
        <w:t>3</w:t>
      </w:r>
      <w:r w:rsidR="00ED2C53" w:rsidRPr="003840A5">
        <w:rPr>
          <w:rFonts w:ascii="Arial" w:hAnsi="Arial" w:cs="Arial"/>
          <w:b/>
          <w:sz w:val="24"/>
          <w:szCs w:val="24"/>
        </w:rPr>
        <w:t xml:space="preserve"> </w:t>
      </w:r>
      <w:r w:rsidR="00ED2C53" w:rsidRPr="003840A5">
        <w:rPr>
          <w:rFonts w:ascii="Arial" w:eastAsia="Times New Roman" w:hAnsi="Arial" w:cs="Arial"/>
          <w:b/>
          <w:color w:val="000000"/>
          <w:sz w:val="24"/>
          <w:szCs w:val="24"/>
        </w:rPr>
        <w:t>QME Emergency Regulations in Response to COVID-</w:t>
      </w:r>
      <w:r w:rsidR="00024136">
        <w:rPr>
          <w:rFonts w:ascii="Arial" w:eastAsia="Times New Roman" w:hAnsi="Arial" w:cs="Arial"/>
          <w:b/>
          <w:color w:val="000000"/>
          <w:sz w:val="24"/>
          <w:szCs w:val="24"/>
        </w:rPr>
        <w:t>19</w:t>
      </w:r>
    </w:p>
    <w:p w14:paraId="41B39631" w14:textId="77777777" w:rsidR="00ED2C53" w:rsidRPr="003840A5" w:rsidRDefault="00767437" w:rsidP="00ED2C53">
      <w:pPr>
        <w:rPr>
          <w:rFonts w:ascii="Arial" w:hAnsi="Arial" w:cs="Arial"/>
          <w:sz w:val="24"/>
          <w:szCs w:val="24"/>
        </w:rPr>
      </w:pPr>
      <w:r w:rsidRPr="003840A5">
        <w:rPr>
          <w:rFonts w:ascii="Arial" w:hAnsi="Arial" w:cs="Arial"/>
          <w:sz w:val="24"/>
          <w:szCs w:val="24"/>
        </w:rPr>
        <w:t>This new section sets for</w:t>
      </w:r>
      <w:r w:rsidR="0072100F" w:rsidRPr="003840A5">
        <w:rPr>
          <w:rFonts w:ascii="Arial" w:hAnsi="Arial" w:cs="Arial"/>
          <w:sz w:val="24"/>
          <w:szCs w:val="24"/>
        </w:rPr>
        <w:t>th</w:t>
      </w:r>
      <w:r w:rsidRPr="003840A5">
        <w:rPr>
          <w:rFonts w:ascii="Arial" w:hAnsi="Arial" w:cs="Arial"/>
          <w:sz w:val="24"/>
          <w:szCs w:val="24"/>
        </w:rPr>
        <w:t xml:space="preserve"> the process </w:t>
      </w:r>
      <w:r w:rsidR="00ED2C53" w:rsidRPr="003840A5">
        <w:rPr>
          <w:rFonts w:ascii="Arial" w:hAnsi="Arial" w:cs="Arial"/>
          <w:sz w:val="24"/>
          <w:szCs w:val="24"/>
        </w:rPr>
        <w:t>that addresses the ongoing need for medical-legal evaluations and to prevent a backlog of medical-legal evaluations resulting from the stay-at-home order. This regulation will help injured workers and employers continue to move their workers’ compensation claims towards a resolution and avoid additional or undue delay.</w:t>
      </w:r>
    </w:p>
    <w:p w14:paraId="2195B855" w14:textId="77777777" w:rsidR="003C6F83" w:rsidRPr="007D0E13" w:rsidRDefault="003C6F83" w:rsidP="007D0E13">
      <w:pPr>
        <w:numPr>
          <w:ilvl w:val="0"/>
          <w:numId w:val="28"/>
        </w:numPr>
        <w:rPr>
          <w:rFonts w:ascii="Arial" w:hAnsi="Arial" w:cs="Arial"/>
          <w:sz w:val="24"/>
          <w:szCs w:val="24"/>
        </w:rPr>
      </w:pPr>
      <w:r w:rsidRPr="009B3132">
        <w:rPr>
          <w:rFonts w:ascii="Arial" w:hAnsi="Arial" w:cs="Arial"/>
          <w:b/>
          <w:sz w:val="24"/>
          <w:szCs w:val="24"/>
        </w:rPr>
        <w:t>Subsection (a)</w:t>
      </w:r>
      <w:r>
        <w:rPr>
          <w:rFonts w:ascii="Arial" w:hAnsi="Arial" w:cs="Arial"/>
          <w:b/>
          <w:sz w:val="24"/>
          <w:szCs w:val="24"/>
        </w:rPr>
        <w:t xml:space="preserve"> </w:t>
      </w:r>
      <w:r w:rsidRPr="009B3132">
        <w:rPr>
          <w:rFonts w:ascii="Arial" w:hAnsi="Arial" w:cs="Arial"/>
          <w:sz w:val="24"/>
          <w:szCs w:val="24"/>
        </w:rPr>
        <w:t>defines a telehealth medical-legal evaluation</w:t>
      </w:r>
      <w:r>
        <w:rPr>
          <w:rFonts w:ascii="Arial" w:hAnsi="Arial" w:cs="Arial"/>
          <w:sz w:val="24"/>
          <w:szCs w:val="24"/>
        </w:rPr>
        <w:t xml:space="preserve"> when injured worker and physician are not in the same physical space or site during the evaluation. </w:t>
      </w:r>
    </w:p>
    <w:p w14:paraId="07CD6940" w14:textId="77777777" w:rsidR="003C6F83" w:rsidRPr="009B3132" w:rsidRDefault="00ED2C53" w:rsidP="00ED2C53">
      <w:pPr>
        <w:numPr>
          <w:ilvl w:val="0"/>
          <w:numId w:val="28"/>
        </w:numPr>
        <w:rPr>
          <w:rFonts w:ascii="Arial" w:hAnsi="Arial" w:cs="Arial"/>
          <w:sz w:val="24"/>
          <w:szCs w:val="24"/>
        </w:rPr>
      </w:pPr>
      <w:r w:rsidRPr="009B3132">
        <w:rPr>
          <w:rFonts w:ascii="Arial" w:hAnsi="Arial" w:cs="Arial"/>
          <w:b/>
          <w:sz w:val="24"/>
          <w:szCs w:val="24"/>
        </w:rPr>
        <w:t>Subsection (a)(</w:t>
      </w:r>
      <w:r w:rsidR="003C6F83">
        <w:rPr>
          <w:rFonts w:ascii="Arial" w:hAnsi="Arial" w:cs="Arial"/>
          <w:b/>
          <w:sz w:val="24"/>
          <w:szCs w:val="24"/>
        </w:rPr>
        <w:t>1</w:t>
      </w:r>
      <w:r w:rsidRPr="009B3132">
        <w:rPr>
          <w:rFonts w:ascii="Arial" w:hAnsi="Arial" w:cs="Arial"/>
          <w:b/>
          <w:sz w:val="24"/>
          <w:szCs w:val="24"/>
        </w:rPr>
        <w:t>)</w:t>
      </w:r>
      <w:r w:rsidRPr="009B3132">
        <w:rPr>
          <w:rFonts w:ascii="Arial" w:hAnsi="Arial" w:cs="Arial"/>
          <w:sz w:val="24"/>
          <w:szCs w:val="24"/>
        </w:rPr>
        <w:t xml:space="preserve"> defines a telehealth medical-legal evaluation and establishes parameters for when a telehealth medical-legal evaluation can be performed if a physical examination is not necessary. These parameters include 1) there is a medical issue in dispute involving AOE/COE, termination of indemnity benefits, or appropriate work restrictions; </w:t>
      </w:r>
      <w:r w:rsidR="003C6F83">
        <w:rPr>
          <w:rFonts w:ascii="Arial" w:hAnsi="Arial" w:cs="Arial"/>
          <w:sz w:val="24"/>
          <w:szCs w:val="24"/>
        </w:rPr>
        <w:t>2</w:t>
      </w:r>
      <w:r w:rsidRPr="009B3132">
        <w:rPr>
          <w:rFonts w:ascii="Arial" w:hAnsi="Arial" w:cs="Arial"/>
          <w:sz w:val="24"/>
          <w:szCs w:val="24"/>
        </w:rPr>
        <w:t>) there is agreement to the evaluation by telehealth by all parties to the action;</w:t>
      </w:r>
      <w:r w:rsidR="003C6F83">
        <w:rPr>
          <w:rFonts w:ascii="Arial" w:hAnsi="Arial" w:cs="Arial"/>
          <w:sz w:val="24"/>
          <w:szCs w:val="24"/>
        </w:rPr>
        <w:t xml:space="preserve"> 3) telehealth evaluation is consistent with appropriate and ethical medical practices </w:t>
      </w:r>
      <w:r w:rsidRPr="009B3132">
        <w:rPr>
          <w:rFonts w:ascii="Arial" w:hAnsi="Arial" w:cs="Arial"/>
          <w:sz w:val="24"/>
          <w:szCs w:val="24"/>
        </w:rPr>
        <w:t>and 4) the physician attests that there is no need for a physical examination.</w:t>
      </w:r>
    </w:p>
    <w:p w14:paraId="6E4B83F4" w14:textId="77777777" w:rsidR="003C6F83" w:rsidRPr="00FF3572" w:rsidRDefault="003C6F83" w:rsidP="007D0E13">
      <w:pPr>
        <w:numPr>
          <w:ilvl w:val="0"/>
          <w:numId w:val="28"/>
        </w:numPr>
        <w:rPr>
          <w:rFonts w:ascii="Arial" w:hAnsi="Arial" w:cs="Arial"/>
          <w:sz w:val="24"/>
          <w:szCs w:val="24"/>
        </w:rPr>
      </w:pPr>
      <w:r w:rsidRPr="009B3132">
        <w:rPr>
          <w:rFonts w:ascii="Arial" w:hAnsi="Arial" w:cs="Arial"/>
          <w:b/>
          <w:sz w:val="24"/>
          <w:szCs w:val="24"/>
        </w:rPr>
        <w:lastRenderedPageBreak/>
        <w:t>Subsection (a)(</w:t>
      </w:r>
      <w:r>
        <w:rPr>
          <w:rFonts w:ascii="Arial" w:hAnsi="Arial" w:cs="Arial"/>
          <w:b/>
          <w:sz w:val="24"/>
          <w:szCs w:val="24"/>
        </w:rPr>
        <w:t>2</w:t>
      </w:r>
      <w:r w:rsidRPr="009B3132">
        <w:rPr>
          <w:rFonts w:ascii="Arial" w:hAnsi="Arial" w:cs="Arial"/>
          <w:b/>
          <w:sz w:val="24"/>
          <w:szCs w:val="24"/>
        </w:rPr>
        <w:t>)</w:t>
      </w:r>
      <w:r>
        <w:rPr>
          <w:rFonts w:ascii="Arial" w:hAnsi="Arial" w:cs="Arial"/>
          <w:b/>
          <w:sz w:val="24"/>
          <w:szCs w:val="24"/>
        </w:rPr>
        <w:t xml:space="preserve"> </w:t>
      </w:r>
      <w:r w:rsidRPr="00FF3572">
        <w:rPr>
          <w:rFonts w:ascii="Arial" w:hAnsi="Arial" w:cs="Arial"/>
          <w:sz w:val="24"/>
          <w:szCs w:val="24"/>
        </w:rPr>
        <w:t xml:space="preserve">defines the scope of telehealth evaluations to be </w:t>
      </w:r>
      <w:r w:rsidR="007D0E13" w:rsidRPr="00FF3572">
        <w:rPr>
          <w:rFonts w:ascii="Arial" w:hAnsi="Arial" w:cs="Arial"/>
          <w:sz w:val="24"/>
          <w:szCs w:val="24"/>
        </w:rPr>
        <w:t>remote</w:t>
      </w:r>
      <w:r w:rsidRPr="00FF3572">
        <w:rPr>
          <w:rFonts w:ascii="Arial" w:hAnsi="Arial" w:cs="Arial"/>
          <w:sz w:val="24"/>
          <w:szCs w:val="24"/>
        </w:rPr>
        <w:t xml:space="preserve"> visits via video-conference, video-calling or similar </w:t>
      </w:r>
      <w:r w:rsidR="007D0E13" w:rsidRPr="00FF3572">
        <w:rPr>
          <w:rFonts w:ascii="Arial" w:hAnsi="Arial" w:cs="Arial"/>
          <w:sz w:val="24"/>
          <w:szCs w:val="24"/>
        </w:rPr>
        <w:t>technology</w:t>
      </w:r>
      <w:r w:rsidRPr="00FF3572">
        <w:rPr>
          <w:rFonts w:ascii="Arial" w:hAnsi="Arial" w:cs="Arial"/>
          <w:sz w:val="24"/>
          <w:szCs w:val="24"/>
        </w:rPr>
        <w:t xml:space="preserve"> that allows </w:t>
      </w:r>
      <w:r w:rsidR="007D0E13" w:rsidRPr="00FF3572">
        <w:rPr>
          <w:rFonts w:ascii="Arial" w:hAnsi="Arial" w:cs="Arial"/>
          <w:sz w:val="24"/>
          <w:szCs w:val="24"/>
        </w:rPr>
        <w:t>each part</w:t>
      </w:r>
      <w:r w:rsidR="00FF3572">
        <w:rPr>
          <w:rFonts w:ascii="Arial" w:hAnsi="Arial" w:cs="Arial"/>
          <w:sz w:val="24"/>
          <w:szCs w:val="24"/>
        </w:rPr>
        <w:t>y</w:t>
      </w:r>
      <w:r w:rsidRPr="00FF3572">
        <w:rPr>
          <w:rFonts w:ascii="Arial" w:hAnsi="Arial" w:cs="Arial"/>
          <w:sz w:val="24"/>
          <w:szCs w:val="24"/>
        </w:rPr>
        <w:t xml:space="preserve"> to see the other and have an audio connection. Provides that the evaluation must have the same standard of ca</w:t>
      </w:r>
      <w:r w:rsidR="00FF3572">
        <w:rPr>
          <w:rFonts w:ascii="Arial" w:hAnsi="Arial" w:cs="Arial"/>
          <w:sz w:val="24"/>
          <w:szCs w:val="24"/>
        </w:rPr>
        <w:t>re</w:t>
      </w:r>
      <w:r w:rsidRPr="00FF3572">
        <w:rPr>
          <w:rFonts w:ascii="Arial" w:hAnsi="Arial" w:cs="Arial"/>
          <w:sz w:val="24"/>
          <w:szCs w:val="24"/>
        </w:rPr>
        <w:t xml:space="preserve"> as an in person examination.</w:t>
      </w:r>
    </w:p>
    <w:p w14:paraId="62122153" w14:textId="77777777" w:rsidR="00ED2C53" w:rsidRDefault="00ED2C53" w:rsidP="003C6F83">
      <w:pPr>
        <w:numPr>
          <w:ilvl w:val="0"/>
          <w:numId w:val="28"/>
        </w:numPr>
        <w:rPr>
          <w:rFonts w:ascii="Arial" w:hAnsi="Arial" w:cs="Arial"/>
          <w:sz w:val="24"/>
          <w:szCs w:val="24"/>
        </w:rPr>
      </w:pPr>
      <w:r w:rsidRPr="009B3132">
        <w:rPr>
          <w:rFonts w:ascii="Arial" w:hAnsi="Arial" w:cs="Arial"/>
          <w:b/>
          <w:sz w:val="24"/>
          <w:szCs w:val="24"/>
        </w:rPr>
        <w:t>Subsection (</w:t>
      </w:r>
      <w:r w:rsidR="007D0E13">
        <w:rPr>
          <w:rFonts w:ascii="Arial" w:hAnsi="Arial" w:cs="Arial"/>
          <w:b/>
          <w:sz w:val="24"/>
          <w:szCs w:val="24"/>
        </w:rPr>
        <w:t>b</w:t>
      </w:r>
      <w:r w:rsidRPr="009B3132">
        <w:rPr>
          <w:rFonts w:ascii="Arial" w:hAnsi="Arial" w:cs="Arial"/>
          <w:b/>
          <w:sz w:val="24"/>
          <w:szCs w:val="24"/>
        </w:rPr>
        <w:t>)</w:t>
      </w:r>
      <w:r w:rsidR="007D0E13">
        <w:rPr>
          <w:rFonts w:ascii="Arial" w:hAnsi="Arial" w:cs="Arial"/>
          <w:b/>
          <w:sz w:val="24"/>
          <w:szCs w:val="24"/>
        </w:rPr>
        <w:t>(1)</w:t>
      </w:r>
      <w:r w:rsidRPr="009B3132">
        <w:rPr>
          <w:rFonts w:ascii="Arial" w:hAnsi="Arial" w:cs="Arial"/>
          <w:b/>
          <w:sz w:val="24"/>
          <w:szCs w:val="24"/>
        </w:rPr>
        <w:t xml:space="preserve"> </w:t>
      </w:r>
      <w:r w:rsidRPr="009B3132">
        <w:rPr>
          <w:rFonts w:ascii="Arial" w:hAnsi="Arial" w:cs="Arial"/>
          <w:sz w:val="24"/>
          <w:szCs w:val="24"/>
        </w:rPr>
        <w:t>allows the initial QME evaluation to take place at any office that is certified for qualified medical</w:t>
      </w:r>
      <w:r w:rsidRPr="000F4C28">
        <w:rPr>
          <w:rFonts w:ascii="Arial" w:hAnsi="Arial" w:cs="Arial"/>
          <w:sz w:val="24"/>
          <w:szCs w:val="24"/>
        </w:rPr>
        <w:t xml:space="preserve"> evaluations as long as there is agreement to this arrangement by all of the parties to the action.</w:t>
      </w:r>
    </w:p>
    <w:p w14:paraId="6C954664" w14:textId="77777777" w:rsidR="007D0E13" w:rsidRPr="00FF3572" w:rsidRDefault="007D0E13" w:rsidP="003C6F83">
      <w:pPr>
        <w:numPr>
          <w:ilvl w:val="0"/>
          <w:numId w:val="28"/>
        </w:numPr>
        <w:rPr>
          <w:rFonts w:ascii="Arial" w:hAnsi="Arial" w:cs="Arial"/>
          <w:sz w:val="24"/>
          <w:szCs w:val="24"/>
        </w:rPr>
      </w:pPr>
      <w:r w:rsidRPr="009B3132">
        <w:rPr>
          <w:rFonts w:ascii="Arial" w:hAnsi="Arial" w:cs="Arial"/>
          <w:b/>
          <w:sz w:val="24"/>
          <w:szCs w:val="24"/>
        </w:rPr>
        <w:t>Subsection (</w:t>
      </w:r>
      <w:r>
        <w:rPr>
          <w:rFonts w:ascii="Arial" w:hAnsi="Arial" w:cs="Arial"/>
          <w:b/>
          <w:sz w:val="24"/>
          <w:szCs w:val="24"/>
        </w:rPr>
        <w:t>b</w:t>
      </w:r>
      <w:r w:rsidRPr="009B3132">
        <w:rPr>
          <w:rFonts w:ascii="Arial" w:hAnsi="Arial" w:cs="Arial"/>
          <w:b/>
          <w:sz w:val="24"/>
          <w:szCs w:val="24"/>
        </w:rPr>
        <w:t>)</w:t>
      </w:r>
      <w:r>
        <w:rPr>
          <w:rFonts w:ascii="Arial" w:hAnsi="Arial" w:cs="Arial"/>
          <w:b/>
          <w:sz w:val="24"/>
          <w:szCs w:val="24"/>
        </w:rPr>
        <w:t xml:space="preserve">(2) </w:t>
      </w:r>
      <w:r w:rsidRPr="00FF3572">
        <w:rPr>
          <w:rFonts w:ascii="Arial" w:hAnsi="Arial" w:cs="Arial"/>
          <w:sz w:val="24"/>
          <w:szCs w:val="24"/>
        </w:rPr>
        <w:t xml:space="preserve">provides for identification of office location when a telehealth evaluation occurs. </w:t>
      </w:r>
    </w:p>
    <w:p w14:paraId="35BA50FB" w14:textId="77777777" w:rsidR="0056561D" w:rsidRPr="009B3132" w:rsidRDefault="00975B45" w:rsidP="0056561D">
      <w:pPr>
        <w:rPr>
          <w:rFonts w:ascii="Arial" w:hAnsi="Arial" w:cs="Arial"/>
          <w:b/>
          <w:sz w:val="24"/>
          <w:szCs w:val="24"/>
          <w:u w:val="single"/>
        </w:rPr>
      </w:pPr>
      <w:r w:rsidRPr="007F5A3D">
        <w:rPr>
          <w:rFonts w:ascii="Arial" w:hAnsi="Arial" w:cs="Arial"/>
          <w:b/>
          <w:sz w:val="24"/>
          <w:szCs w:val="24"/>
          <w:u w:val="single"/>
        </w:rPr>
        <w:t xml:space="preserve">DETERMINATION OF SIGNIFICANT STATEWIDE </w:t>
      </w:r>
      <w:r w:rsidRPr="0072734D">
        <w:rPr>
          <w:rFonts w:ascii="Arial" w:hAnsi="Arial" w:cs="Arial"/>
          <w:b/>
          <w:sz w:val="24"/>
          <w:szCs w:val="24"/>
          <w:u w:val="single"/>
        </w:rPr>
        <w:t>ADVERSE ECONOMIC IMPACT DIRECTLY AFFECTING BUSINESS</w:t>
      </w:r>
    </w:p>
    <w:p w14:paraId="47C18154" w14:textId="77777777" w:rsidR="00767437" w:rsidRPr="007F5A3D" w:rsidRDefault="00217D4A" w:rsidP="0056561D">
      <w:pPr>
        <w:rPr>
          <w:rFonts w:ascii="Arial" w:hAnsi="Arial" w:cs="Arial"/>
          <w:sz w:val="24"/>
          <w:szCs w:val="24"/>
        </w:rPr>
      </w:pPr>
      <w:r w:rsidRPr="009B3132">
        <w:rPr>
          <w:rFonts w:ascii="Arial" w:hAnsi="Arial" w:cs="Arial"/>
          <w:sz w:val="24"/>
          <w:szCs w:val="24"/>
        </w:rPr>
        <w:t>Physicians</w:t>
      </w:r>
      <w:r w:rsidR="00767437" w:rsidRPr="009B3132">
        <w:rPr>
          <w:rFonts w:ascii="Arial" w:hAnsi="Arial" w:cs="Arial"/>
          <w:sz w:val="24"/>
          <w:szCs w:val="24"/>
        </w:rPr>
        <w:t xml:space="preserve"> </w:t>
      </w:r>
      <w:r w:rsidR="00B97B1D" w:rsidRPr="009B3132">
        <w:rPr>
          <w:rFonts w:ascii="Arial" w:hAnsi="Arial" w:cs="Arial"/>
          <w:sz w:val="24"/>
          <w:szCs w:val="24"/>
        </w:rPr>
        <w:t>who provide medical</w:t>
      </w:r>
      <w:r w:rsidR="007F5A3D">
        <w:rPr>
          <w:rFonts w:ascii="Arial" w:hAnsi="Arial" w:cs="Arial"/>
          <w:sz w:val="24"/>
          <w:szCs w:val="24"/>
        </w:rPr>
        <w:t>-</w:t>
      </w:r>
      <w:r w:rsidR="00B97B1D" w:rsidRPr="007F5A3D">
        <w:rPr>
          <w:rFonts w:ascii="Arial" w:hAnsi="Arial" w:cs="Arial"/>
          <w:sz w:val="24"/>
          <w:szCs w:val="24"/>
        </w:rPr>
        <w:t xml:space="preserve">legal evaluations will be able </w:t>
      </w:r>
      <w:r w:rsidR="00676B2D">
        <w:rPr>
          <w:rFonts w:ascii="Arial" w:hAnsi="Arial" w:cs="Arial"/>
          <w:sz w:val="24"/>
          <w:szCs w:val="24"/>
        </w:rPr>
        <w:t xml:space="preserve">to provide services through use of telehealth in order to reduce exposure to COVID-19 </w:t>
      </w:r>
      <w:r w:rsidR="00B97B1D" w:rsidRPr="007F5A3D">
        <w:rPr>
          <w:rFonts w:ascii="Arial" w:hAnsi="Arial" w:cs="Arial"/>
          <w:sz w:val="24"/>
          <w:szCs w:val="24"/>
        </w:rPr>
        <w:t xml:space="preserve">during the pendency of the </w:t>
      </w:r>
      <w:r w:rsidR="00024136">
        <w:rPr>
          <w:rFonts w:ascii="Arial" w:hAnsi="Arial" w:cs="Arial"/>
          <w:sz w:val="24"/>
          <w:szCs w:val="24"/>
        </w:rPr>
        <w:t>COVID-19 medical crisis</w:t>
      </w:r>
      <w:r w:rsidR="00B97B1D" w:rsidRPr="007F5A3D">
        <w:rPr>
          <w:rFonts w:ascii="Arial" w:hAnsi="Arial" w:cs="Arial"/>
          <w:sz w:val="24"/>
          <w:szCs w:val="24"/>
        </w:rPr>
        <w:t xml:space="preserve">. </w:t>
      </w:r>
    </w:p>
    <w:p w14:paraId="658B4CAE" w14:textId="77777777" w:rsidR="0056561D" w:rsidRPr="009B3132" w:rsidRDefault="0056561D" w:rsidP="0056561D">
      <w:pPr>
        <w:rPr>
          <w:rFonts w:ascii="Arial" w:hAnsi="Arial" w:cs="Arial"/>
          <w:sz w:val="24"/>
          <w:szCs w:val="24"/>
        </w:rPr>
      </w:pPr>
      <w:r w:rsidRPr="007F5A3D">
        <w:rPr>
          <w:rFonts w:ascii="Arial" w:hAnsi="Arial" w:cs="Arial"/>
          <w:sz w:val="24"/>
          <w:szCs w:val="24"/>
        </w:rPr>
        <w:t>Th</w:t>
      </w:r>
      <w:r w:rsidRPr="0072734D">
        <w:rPr>
          <w:rFonts w:ascii="Arial" w:hAnsi="Arial" w:cs="Arial"/>
          <w:sz w:val="24"/>
          <w:szCs w:val="24"/>
        </w:rPr>
        <w:t>e Department of Industrial Relations, Division of Workers’ Compensation</w:t>
      </w:r>
      <w:r w:rsidR="00E10C70" w:rsidRPr="0072734D">
        <w:rPr>
          <w:rFonts w:ascii="Arial" w:hAnsi="Arial" w:cs="Arial"/>
          <w:sz w:val="24"/>
          <w:szCs w:val="24"/>
        </w:rPr>
        <w:t>,</w:t>
      </w:r>
      <w:r w:rsidRPr="009B3132">
        <w:rPr>
          <w:rFonts w:ascii="Arial" w:hAnsi="Arial" w:cs="Arial"/>
          <w:sz w:val="24"/>
          <w:szCs w:val="24"/>
        </w:rPr>
        <w:t xml:space="preserve"> has </w:t>
      </w:r>
      <w:r w:rsidR="00436B35" w:rsidRPr="009B3132">
        <w:rPr>
          <w:rFonts w:ascii="Arial" w:hAnsi="Arial" w:cs="Arial"/>
          <w:sz w:val="24"/>
          <w:szCs w:val="24"/>
        </w:rPr>
        <w:t>made an in</w:t>
      </w:r>
      <w:r w:rsidR="00217D4A" w:rsidRPr="009B3132">
        <w:rPr>
          <w:rFonts w:ascii="Arial" w:hAnsi="Arial" w:cs="Arial"/>
          <w:sz w:val="24"/>
          <w:szCs w:val="24"/>
        </w:rPr>
        <w:t xml:space="preserve">itial </w:t>
      </w:r>
      <w:r w:rsidRPr="009B3132">
        <w:rPr>
          <w:rFonts w:ascii="Arial" w:hAnsi="Arial" w:cs="Arial"/>
          <w:sz w:val="24"/>
          <w:szCs w:val="24"/>
        </w:rPr>
        <w:t>determin</w:t>
      </w:r>
      <w:r w:rsidR="00217D4A" w:rsidRPr="009B3132">
        <w:rPr>
          <w:rFonts w:ascii="Arial" w:hAnsi="Arial" w:cs="Arial"/>
          <w:sz w:val="24"/>
          <w:szCs w:val="24"/>
        </w:rPr>
        <w:t>ation that the adoption of th</w:t>
      </w:r>
      <w:r w:rsidR="00676B2D">
        <w:rPr>
          <w:rFonts w:ascii="Arial" w:hAnsi="Arial" w:cs="Arial"/>
          <w:sz w:val="24"/>
          <w:szCs w:val="24"/>
        </w:rPr>
        <w:t>is</w:t>
      </w:r>
      <w:r w:rsidR="00217D4A" w:rsidRPr="009B3132">
        <w:rPr>
          <w:rFonts w:ascii="Arial" w:hAnsi="Arial" w:cs="Arial"/>
          <w:sz w:val="24"/>
          <w:szCs w:val="24"/>
        </w:rPr>
        <w:t xml:space="preserve"> regulation </w:t>
      </w:r>
      <w:r w:rsidR="00767437" w:rsidRPr="009B3132">
        <w:rPr>
          <w:rFonts w:ascii="Arial" w:hAnsi="Arial" w:cs="Arial"/>
          <w:sz w:val="24"/>
          <w:szCs w:val="24"/>
        </w:rPr>
        <w:t xml:space="preserve">will not have a </w:t>
      </w:r>
      <w:r w:rsidR="00217D4A" w:rsidRPr="009B3132">
        <w:rPr>
          <w:rFonts w:ascii="Arial" w:hAnsi="Arial" w:cs="Arial"/>
          <w:sz w:val="24"/>
          <w:szCs w:val="24"/>
        </w:rPr>
        <w:t>significant, statewide adverse economic impact di</w:t>
      </w:r>
      <w:r w:rsidR="00436B35" w:rsidRPr="009B3132">
        <w:rPr>
          <w:rFonts w:ascii="Arial" w:hAnsi="Arial" w:cs="Arial"/>
          <w:sz w:val="24"/>
          <w:szCs w:val="24"/>
        </w:rPr>
        <w:t>rectly affecting business</w:t>
      </w:r>
      <w:r w:rsidR="00024136">
        <w:rPr>
          <w:rFonts w:ascii="Arial" w:hAnsi="Arial" w:cs="Arial"/>
          <w:sz w:val="24"/>
          <w:szCs w:val="24"/>
        </w:rPr>
        <w:t xml:space="preserve"> because it merely offers an option for telehealth and flexibility with office location evaluations</w:t>
      </w:r>
      <w:r w:rsidR="00217D4A" w:rsidRPr="009B3132">
        <w:rPr>
          <w:rFonts w:ascii="Arial" w:hAnsi="Arial" w:cs="Arial"/>
          <w:sz w:val="24"/>
          <w:szCs w:val="24"/>
        </w:rPr>
        <w:t xml:space="preserve">. </w:t>
      </w:r>
      <w:r w:rsidR="00436B35" w:rsidRPr="009B3132">
        <w:rPr>
          <w:rFonts w:ascii="Arial" w:hAnsi="Arial" w:cs="Arial"/>
          <w:sz w:val="24"/>
          <w:szCs w:val="24"/>
        </w:rPr>
        <w:t xml:space="preserve">The Division of Workers’ </w:t>
      </w:r>
      <w:r w:rsidR="0072100F" w:rsidRPr="009B3132">
        <w:rPr>
          <w:rFonts w:ascii="Arial" w:hAnsi="Arial" w:cs="Arial"/>
          <w:sz w:val="24"/>
          <w:szCs w:val="24"/>
        </w:rPr>
        <w:t>C</w:t>
      </w:r>
      <w:r w:rsidR="00436B35" w:rsidRPr="009B3132">
        <w:rPr>
          <w:rFonts w:ascii="Arial" w:hAnsi="Arial" w:cs="Arial"/>
          <w:sz w:val="24"/>
          <w:szCs w:val="24"/>
        </w:rPr>
        <w:t>ompensation has not considered proposed alternatives that would lessen any adverse economic impact on business and invites you to submit proposals. Submission may include the</w:t>
      </w:r>
      <w:r w:rsidR="00E10C70" w:rsidRPr="009B3132">
        <w:rPr>
          <w:rFonts w:ascii="Arial" w:hAnsi="Arial" w:cs="Arial"/>
          <w:sz w:val="24"/>
          <w:szCs w:val="24"/>
        </w:rPr>
        <w:t xml:space="preserve"> following considerations</w:t>
      </w:r>
      <w:r w:rsidR="00676B2D">
        <w:rPr>
          <w:rFonts w:ascii="Arial" w:hAnsi="Arial" w:cs="Arial"/>
          <w:sz w:val="24"/>
          <w:szCs w:val="24"/>
        </w:rPr>
        <w:t>:</w:t>
      </w:r>
      <w:r w:rsidR="00E10C70" w:rsidRPr="009B3132">
        <w:rPr>
          <w:rFonts w:ascii="Arial" w:hAnsi="Arial" w:cs="Arial"/>
          <w:sz w:val="24"/>
          <w:szCs w:val="24"/>
        </w:rPr>
        <w:t xml:space="preserve"> (</w:t>
      </w:r>
      <w:proofErr w:type="spellStart"/>
      <w:r w:rsidR="00E10C70" w:rsidRPr="009B3132">
        <w:rPr>
          <w:rFonts w:ascii="Arial" w:hAnsi="Arial" w:cs="Arial"/>
          <w:sz w:val="24"/>
          <w:szCs w:val="24"/>
        </w:rPr>
        <w:t>i</w:t>
      </w:r>
      <w:proofErr w:type="spellEnd"/>
      <w:r w:rsidR="00E10C70" w:rsidRPr="009B3132">
        <w:rPr>
          <w:rFonts w:ascii="Arial" w:hAnsi="Arial" w:cs="Arial"/>
          <w:sz w:val="24"/>
          <w:szCs w:val="24"/>
        </w:rPr>
        <w:t xml:space="preserve">) </w:t>
      </w:r>
      <w:r w:rsidR="00B97B1D" w:rsidRPr="009B3132">
        <w:rPr>
          <w:rFonts w:ascii="Arial" w:hAnsi="Arial" w:cs="Arial"/>
          <w:sz w:val="24"/>
          <w:szCs w:val="24"/>
        </w:rPr>
        <w:t>c</w:t>
      </w:r>
      <w:r w:rsidR="00436B35" w:rsidRPr="009B3132">
        <w:rPr>
          <w:rFonts w:ascii="Arial" w:hAnsi="Arial" w:cs="Arial"/>
          <w:sz w:val="24"/>
          <w:szCs w:val="24"/>
        </w:rPr>
        <w:t>onsolidation or simplification o</w:t>
      </w:r>
      <w:r w:rsidR="00B97B1D" w:rsidRPr="009B3132">
        <w:rPr>
          <w:rFonts w:ascii="Arial" w:hAnsi="Arial" w:cs="Arial"/>
          <w:sz w:val="24"/>
          <w:szCs w:val="24"/>
        </w:rPr>
        <w:t>f</w:t>
      </w:r>
      <w:r w:rsidR="00436B35" w:rsidRPr="009B3132">
        <w:rPr>
          <w:rFonts w:ascii="Arial" w:hAnsi="Arial" w:cs="Arial"/>
          <w:sz w:val="24"/>
          <w:szCs w:val="24"/>
        </w:rPr>
        <w:t xml:space="preserve"> reporting requ</w:t>
      </w:r>
      <w:r w:rsidR="00E10C70" w:rsidRPr="009B3132">
        <w:rPr>
          <w:rFonts w:ascii="Arial" w:hAnsi="Arial" w:cs="Arial"/>
          <w:sz w:val="24"/>
          <w:szCs w:val="24"/>
        </w:rPr>
        <w:t xml:space="preserve">irements for </w:t>
      </w:r>
      <w:r w:rsidR="00B97B1D" w:rsidRPr="009B3132">
        <w:rPr>
          <w:rFonts w:ascii="Arial" w:hAnsi="Arial" w:cs="Arial"/>
          <w:sz w:val="24"/>
          <w:szCs w:val="24"/>
        </w:rPr>
        <w:t>qualified medical evaluators</w:t>
      </w:r>
      <w:r w:rsidR="00E10C70" w:rsidRPr="009B3132">
        <w:rPr>
          <w:rFonts w:ascii="Arial" w:hAnsi="Arial" w:cs="Arial"/>
          <w:sz w:val="24"/>
          <w:szCs w:val="24"/>
        </w:rPr>
        <w:t xml:space="preserve">; </w:t>
      </w:r>
      <w:r w:rsidR="00B97B1D" w:rsidRPr="009B3132">
        <w:rPr>
          <w:rFonts w:ascii="Arial" w:hAnsi="Arial" w:cs="Arial"/>
          <w:sz w:val="24"/>
          <w:szCs w:val="24"/>
        </w:rPr>
        <w:t xml:space="preserve">and </w:t>
      </w:r>
      <w:r w:rsidR="00E10C70" w:rsidRPr="009B3132">
        <w:rPr>
          <w:rFonts w:ascii="Arial" w:hAnsi="Arial" w:cs="Arial"/>
          <w:sz w:val="24"/>
          <w:szCs w:val="24"/>
        </w:rPr>
        <w:t>(ii) t</w:t>
      </w:r>
      <w:r w:rsidR="00436B35" w:rsidRPr="009B3132">
        <w:rPr>
          <w:rFonts w:ascii="Arial" w:hAnsi="Arial" w:cs="Arial"/>
          <w:sz w:val="24"/>
          <w:szCs w:val="24"/>
        </w:rPr>
        <w:t>he use of performance standards rather tha</w:t>
      </w:r>
      <w:r w:rsidR="00E10C70" w:rsidRPr="009B3132">
        <w:rPr>
          <w:rFonts w:ascii="Arial" w:hAnsi="Arial" w:cs="Arial"/>
          <w:sz w:val="24"/>
          <w:szCs w:val="24"/>
        </w:rPr>
        <w:t xml:space="preserve">n </w:t>
      </w:r>
      <w:r w:rsidR="00B97B1D" w:rsidRPr="009B3132">
        <w:rPr>
          <w:rFonts w:ascii="Arial" w:hAnsi="Arial" w:cs="Arial"/>
          <w:sz w:val="24"/>
          <w:szCs w:val="24"/>
        </w:rPr>
        <w:t>telehealth.</w:t>
      </w:r>
      <w:r w:rsidRPr="009B3132">
        <w:rPr>
          <w:rFonts w:ascii="Arial" w:hAnsi="Arial" w:cs="Arial"/>
          <w:sz w:val="24"/>
          <w:szCs w:val="24"/>
        </w:rPr>
        <w:t xml:space="preserve"> </w:t>
      </w:r>
    </w:p>
    <w:p w14:paraId="2C098EE5" w14:textId="77777777" w:rsidR="0056561D" w:rsidRPr="009B3132" w:rsidRDefault="00975B45" w:rsidP="0056561D">
      <w:pPr>
        <w:rPr>
          <w:rFonts w:ascii="Arial" w:hAnsi="Arial" w:cs="Arial"/>
          <w:b/>
          <w:sz w:val="24"/>
          <w:szCs w:val="24"/>
          <w:u w:val="single"/>
        </w:rPr>
      </w:pPr>
      <w:r w:rsidRPr="009B3132">
        <w:rPr>
          <w:rFonts w:ascii="Arial" w:hAnsi="Arial" w:cs="Arial"/>
          <w:b/>
          <w:sz w:val="24"/>
          <w:szCs w:val="24"/>
          <w:u w:val="single"/>
        </w:rPr>
        <w:t>POLICY STATEMENT OVERVIEW</w:t>
      </w:r>
    </w:p>
    <w:p w14:paraId="05BBBF50" w14:textId="77777777" w:rsidR="00B97B1D" w:rsidRPr="007F5A3D" w:rsidRDefault="0056561D" w:rsidP="00E32C5C">
      <w:pPr>
        <w:rPr>
          <w:rFonts w:ascii="Arial" w:hAnsi="Arial" w:cs="Arial"/>
          <w:sz w:val="24"/>
          <w:szCs w:val="24"/>
        </w:rPr>
      </w:pPr>
      <w:r w:rsidRPr="009B3132">
        <w:rPr>
          <w:rFonts w:ascii="Arial" w:hAnsi="Arial" w:cs="Arial"/>
          <w:sz w:val="24"/>
          <w:szCs w:val="24"/>
        </w:rPr>
        <w:t>The objective of th</w:t>
      </w:r>
      <w:r w:rsidR="00A16F4B" w:rsidRPr="009B3132">
        <w:rPr>
          <w:rFonts w:ascii="Arial" w:hAnsi="Arial" w:cs="Arial"/>
          <w:sz w:val="24"/>
          <w:szCs w:val="24"/>
        </w:rPr>
        <w:t>e proposed emergency regulation</w:t>
      </w:r>
      <w:r w:rsidRPr="009B3132">
        <w:rPr>
          <w:rFonts w:ascii="Arial" w:hAnsi="Arial" w:cs="Arial"/>
          <w:sz w:val="24"/>
          <w:szCs w:val="24"/>
        </w:rPr>
        <w:t xml:space="preserve"> is to </w:t>
      </w:r>
      <w:r w:rsidR="00016F4E" w:rsidRPr="009B3132">
        <w:rPr>
          <w:rFonts w:ascii="Arial" w:hAnsi="Arial" w:cs="Arial"/>
          <w:sz w:val="24"/>
          <w:szCs w:val="24"/>
        </w:rPr>
        <w:t>implement the</w:t>
      </w:r>
      <w:r w:rsidR="00767437" w:rsidRPr="009B3132">
        <w:rPr>
          <w:rFonts w:ascii="Arial" w:hAnsi="Arial" w:cs="Arial"/>
          <w:sz w:val="24"/>
          <w:szCs w:val="24"/>
        </w:rPr>
        <w:t xml:space="preserve"> </w:t>
      </w:r>
      <w:r w:rsidR="00B97B1D" w:rsidRPr="009B3132">
        <w:rPr>
          <w:rFonts w:ascii="Arial" w:hAnsi="Arial" w:cs="Arial"/>
          <w:sz w:val="24"/>
          <w:szCs w:val="24"/>
        </w:rPr>
        <w:t>provision of telehealth medical</w:t>
      </w:r>
      <w:r w:rsidR="00A16F4B" w:rsidRPr="009B3132">
        <w:rPr>
          <w:rFonts w:ascii="Arial" w:hAnsi="Arial" w:cs="Arial"/>
          <w:sz w:val="24"/>
          <w:szCs w:val="24"/>
        </w:rPr>
        <w:t>-</w:t>
      </w:r>
      <w:r w:rsidR="00B97B1D" w:rsidRPr="009B3132">
        <w:rPr>
          <w:rFonts w:ascii="Arial" w:hAnsi="Arial" w:cs="Arial"/>
          <w:sz w:val="24"/>
          <w:szCs w:val="24"/>
        </w:rPr>
        <w:t xml:space="preserve">legal evaluations during the pendency of the </w:t>
      </w:r>
      <w:r w:rsidR="003840A5">
        <w:rPr>
          <w:rFonts w:ascii="Arial" w:hAnsi="Arial" w:cs="Arial"/>
          <w:sz w:val="24"/>
          <w:szCs w:val="24"/>
        </w:rPr>
        <w:t>COVID</w:t>
      </w:r>
      <w:r w:rsidR="007F5A3D">
        <w:rPr>
          <w:rFonts w:ascii="Arial" w:hAnsi="Arial" w:cs="Arial"/>
          <w:sz w:val="24"/>
          <w:szCs w:val="24"/>
        </w:rPr>
        <w:t>-</w:t>
      </w:r>
      <w:r w:rsidR="00B97B1D" w:rsidRPr="003840A5">
        <w:rPr>
          <w:rFonts w:ascii="Arial" w:hAnsi="Arial" w:cs="Arial"/>
          <w:sz w:val="24"/>
          <w:szCs w:val="24"/>
        </w:rPr>
        <w:t>19</w:t>
      </w:r>
      <w:r w:rsidR="00024136">
        <w:rPr>
          <w:rFonts w:ascii="Arial" w:hAnsi="Arial" w:cs="Arial"/>
          <w:sz w:val="24"/>
          <w:szCs w:val="24"/>
        </w:rPr>
        <w:t xml:space="preserve"> medical crisis</w:t>
      </w:r>
      <w:r w:rsidR="00B97B1D" w:rsidRPr="003840A5">
        <w:rPr>
          <w:rFonts w:ascii="Arial" w:hAnsi="Arial" w:cs="Arial"/>
          <w:sz w:val="24"/>
          <w:szCs w:val="24"/>
        </w:rPr>
        <w:t>, and to</w:t>
      </w:r>
      <w:r w:rsidR="00A16F4B" w:rsidRPr="003840A5">
        <w:rPr>
          <w:rFonts w:ascii="Arial" w:hAnsi="Arial" w:cs="Arial"/>
          <w:sz w:val="24"/>
          <w:szCs w:val="24"/>
        </w:rPr>
        <w:t xml:space="preserve"> clarify the interpretation of</w:t>
      </w:r>
      <w:r w:rsidR="00B97B1D" w:rsidRPr="000F4C28">
        <w:rPr>
          <w:rFonts w:ascii="Arial" w:hAnsi="Arial" w:cs="Arial"/>
          <w:sz w:val="24"/>
          <w:szCs w:val="24"/>
        </w:rPr>
        <w:t xml:space="preserve"> the relevant statutes and regulations by way of </w:t>
      </w:r>
      <w:r w:rsidR="00A16F4B" w:rsidRPr="000F4C28">
        <w:rPr>
          <w:rFonts w:ascii="Arial" w:hAnsi="Arial" w:cs="Arial"/>
          <w:sz w:val="24"/>
          <w:szCs w:val="24"/>
        </w:rPr>
        <w:t xml:space="preserve">the proposed emergency </w:t>
      </w:r>
      <w:r w:rsidR="00B97B1D" w:rsidRPr="007F5A3D">
        <w:rPr>
          <w:rFonts w:ascii="Arial" w:hAnsi="Arial" w:cs="Arial"/>
          <w:sz w:val="24"/>
          <w:szCs w:val="24"/>
        </w:rPr>
        <w:t>regulation in a manner that allows for the above referenced actions.</w:t>
      </w:r>
    </w:p>
    <w:p w14:paraId="0EA7048E"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MATTERS PRESCRIBED BY STATUTE APPLICABLE TO THE AGENCY OR TO ANY SPECIFIC REGULATION OR CLASS OF REGULATIONS</w:t>
      </w:r>
    </w:p>
    <w:p w14:paraId="386680AC" w14:textId="77777777" w:rsidR="0056561D" w:rsidRPr="009B3132" w:rsidRDefault="0056561D" w:rsidP="0056561D">
      <w:pPr>
        <w:rPr>
          <w:rFonts w:ascii="Arial" w:hAnsi="Arial" w:cs="Arial"/>
          <w:sz w:val="24"/>
          <w:szCs w:val="24"/>
        </w:rPr>
      </w:pPr>
      <w:r w:rsidRPr="009B3132">
        <w:rPr>
          <w:rFonts w:ascii="Arial" w:hAnsi="Arial" w:cs="Arial"/>
          <w:sz w:val="24"/>
          <w:szCs w:val="24"/>
        </w:rPr>
        <w:t>NONE</w:t>
      </w:r>
    </w:p>
    <w:p w14:paraId="4F630C18"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MANDATE ON LOCAL AGENCIES OR SCHOOL DISTRICTS</w:t>
      </w:r>
    </w:p>
    <w:p w14:paraId="25D3C4BE" w14:textId="77777777" w:rsidR="0056561D" w:rsidRDefault="0056561D" w:rsidP="0056561D">
      <w:pPr>
        <w:rPr>
          <w:rFonts w:ascii="Arial" w:hAnsi="Arial" w:cs="Arial"/>
          <w:sz w:val="24"/>
          <w:szCs w:val="24"/>
        </w:rPr>
      </w:pPr>
      <w:r w:rsidRPr="009B3132">
        <w:rPr>
          <w:rFonts w:ascii="Arial" w:hAnsi="Arial" w:cs="Arial"/>
          <w:sz w:val="24"/>
          <w:szCs w:val="24"/>
        </w:rPr>
        <w:lastRenderedPageBreak/>
        <w:t xml:space="preserve">The Department of Industrial Relations, Division of Workers’ Compensation has determined that this proposed regulatory action would not impose a mandate on local agencies or school districts.  </w:t>
      </w:r>
    </w:p>
    <w:p w14:paraId="482F8690" w14:textId="77777777" w:rsidR="007D0E13" w:rsidRPr="009B3132" w:rsidRDefault="007D0E13" w:rsidP="0056561D">
      <w:pPr>
        <w:rPr>
          <w:rFonts w:ascii="Arial" w:hAnsi="Arial" w:cs="Arial"/>
          <w:sz w:val="24"/>
          <w:szCs w:val="24"/>
        </w:rPr>
      </w:pPr>
    </w:p>
    <w:p w14:paraId="624A1E79" w14:textId="77777777" w:rsidR="0056561D" w:rsidRPr="009B3132" w:rsidRDefault="0056561D" w:rsidP="0056561D">
      <w:pPr>
        <w:rPr>
          <w:rFonts w:ascii="Arial" w:hAnsi="Arial" w:cs="Arial"/>
          <w:b/>
          <w:sz w:val="24"/>
          <w:szCs w:val="24"/>
          <w:u w:val="single"/>
        </w:rPr>
      </w:pPr>
      <w:r w:rsidRPr="009B3132">
        <w:rPr>
          <w:rFonts w:ascii="Arial" w:hAnsi="Arial" w:cs="Arial"/>
          <w:b/>
          <w:sz w:val="24"/>
          <w:szCs w:val="24"/>
          <w:u w:val="single"/>
        </w:rPr>
        <w:t>FISCAL IMPA</w:t>
      </w:r>
      <w:r w:rsidR="00767437" w:rsidRPr="009B3132">
        <w:rPr>
          <w:rFonts w:ascii="Arial" w:hAnsi="Arial" w:cs="Arial"/>
          <w:b/>
          <w:sz w:val="24"/>
          <w:szCs w:val="24"/>
          <w:u w:val="single"/>
        </w:rPr>
        <w:t xml:space="preserve">CT STATEMENT </w:t>
      </w:r>
    </w:p>
    <w:p w14:paraId="507FF1D4" w14:textId="77777777" w:rsidR="0056561D" w:rsidRPr="009B3132" w:rsidRDefault="0056561D" w:rsidP="0056561D">
      <w:pPr>
        <w:rPr>
          <w:rFonts w:ascii="Arial" w:hAnsi="Arial" w:cs="Arial"/>
          <w:sz w:val="24"/>
          <w:szCs w:val="24"/>
        </w:rPr>
      </w:pPr>
      <w:r w:rsidRPr="009B3132">
        <w:rPr>
          <w:rFonts w:ascii="Arial" w:hAnsi="Arial" w:cs="Arial"/>
          <w:sz w:val="24"/>
          <w:szCs w:val="24"/>
        </w:rPr>
        <w:t>A.</w:t>
      </w:r>
      <w:r w:rsidRPr="009B3132">
        <w:rPr>
          <w:rFonts w:ascii="Arial" w:hAnsi="Arial" w:cs="Arial"/>
          <w:sz w:val="24"/>
          <w:szCs w:val="24"/>
        </w:rPr>
        <w:tab/>
        <w:t>Cost or Savings to any state agency: NONE</w:t>
      </w:r>
    </w:p>
    <w:p w14:paraId="576D451B" w14:textId="77777777" w:rsidR="0056561D" w:rsidRPr="007F5A3D" w:rsidRDefault="00016F4E" w:rsidP="0056561D">
      <w:pPr>
        <w:rPr>
          <w:rFonts w:ascii="Arial" w:hAnsi="Arial" w:cs="Arial"/>
          <w:sz w:val="24"/>
          <w:szCs w:val="24"/>
        </w:rPr>
      </w:pPr>
      <w:r w:rsidRPr="009B3132">
        <w:rPr>
          <w:rFonts w:ascii="Arial" w:hAnsi="Arial" w:cs="Arial"/>
          <w:sz w:val="24"/>
          <w:szCs w:val="24"/>
        </w:rPr>
        <w:t>B</w:t>
      </w:r>
      <w:r w:rsidR="0056561D" w:rsidRPr="009B3132">
        <w:rPr>
          <w:rFonts w:ascii="Arial" w:hAnsi="Arial" w:cs="Arial"/>
          <w:sz w:val="24"/>
          <w:szCs w:val="24"/>
        </w:rPr>
        <w:t>.</w:t>
      </w:r>
      <w:r w:rsidR="0056561D" w:rsidRPr="009B3132">
        <w:rPr>
          <w:rFonts w:ascii="Arial" w:hAnsi="Arial" w:cs="Arial"/>
          <w:sz w:val="24"/>
          <w:szCs w:val="24"/>
        </w:rPr>
        <w:tab/>
        <w:t>Cost to any local agency required to be reimbursed under Part 7</w:t>
      </w:r>
      <w:r w:rsidR="007F5A3D">
        <w:rPr>
          <w:rFonts w:ascii="Arial" w:hAnsi="Arial" w:cs="Arial"/>
          <w:sz w:val="24"/>
          <w:szCs w:val="24"/>
        </w:rPr>
        <w:t xml:space="preserve"> </w:t>
      </w:r>
      <w:r w:rsidR="0056561D" w:rsidRPr="007F5A3D">
        <w:rPr>
          <w:rFonts w:ascii="Arial" w:hAnsi="Arial" w:cs="Arial"/>
          <w:sz w:val="24"/>
          <w:szCs w:val="24"/>
        </w:rPr>
        <w:t>(commencing with Section 17500) of Division 4: NONE</w:t>
      </w:r>
    </w:p>
    <w:p w14:paraId="1600F6A7" w14:textId="77777777" w:rsidR="0056561D" w:rsidRPr="009B3132" w:rsidRDefault="00016F4E" w:rsidP="0056561D">
      <w:pPr>
        <w:rPr>
          <w:rFonts w:ascii="Arial" w:hAnsi="Arial" w:cs="Arial"/>
          <w:sz w:val="24"/>
          <w:szCs w:val="24"/>
        </w:rPr>
      </w:pPr>
      <w:r w:rsidRPr="007F5A3D">
        <w:rPr>
          <w:rFonts w:ascii="Arial" w:hAnsi="Arial" w:cs="Arial"/>
          <w:sz w:val="24"/>
          <w:szCs w:val="24"/>
        </w:rPr>
        <w:t>C</w:t>
      </w:r>
      <w:r w:rsidR="0056561D" w:rsidRPr="009B3132">
        <w:rPr>
          <w:rFonts w:ascii="Arial" w:hAnsi="Arial" w:cs="Arial"/>
          <w:sz w:val="24"/>
          <w:szCs w:val="24"/>
        </w:rPr>
        <w:t>.</w:t>
      </w:r>
      <w:r w:rsidR="0056561D" w:rsidRPr="009B3132">
        <w:rPr>
          <w:rFonts w:ascii="Arial" w:hAnsi="Arial" w:cs="Arial"/>
          <w:sz w:val="24"/>
          <w:szCs w:val="24"/>
        </w:rPr>
        <w:tab/>
        <w:t>Cost to any school district required to be reimbursed under Part 7 (commencing with Section 17500) of Division 4: NONE</w:t>
      </w:r>
    </w:p>
    <w:p w14:paraId="3E030FFA" w14:textId="77777777" w:rsidR="0056561D" w:rsidRPr="009B3132" w:rsidRDefault="00016F4E" w:rsidP="0056561D">
      <w:pPr>
        <w:rPr>
          <w:rFonts w:ascii="Arial" w:hAnsi="Arial" w:cs="Arial"/>
          <w:sz w:val="24"/>
          <w:szCs w:val="24"/>
        </w:rPr>
      </w:pPr>
      <w:r w:rsidRPr="009B3132">
        <w:rPr>
          <w:rFonts w:ascii="Arial" w:hAnsi="Arial" w:cs="Arial"/>
          <w:sz w:val="24"/>
          <w:szCs w:val="24"/>
        </w:rPr>
        <w:t>D</w:t>
      </w:r>
      <w:r w:rsidR="0056561D" w:rsidRPr="009B3132">
        <w:rPr>
          <w:rFonts w:ascii="Arial" w:hAnsi="Arial" w:cs="Arial"/>
          <w:sz w:val="24"/>
          <w:szCs w:val="24"/>
        </w:rPr>
        <w:t>.</w:t>
      </w:r>
      <w:r w:rsidR="0056561D" w:rsidRPr="009B3132">
        <w:rPr>
          <w:rFonts w:ascii="Arial" w:hAnsi="Arial" w:cs="Arial"/>
          <w:sz w:val="24"/>
          <w:szCs w:val="24"/>
        </w:rPr>
        <w:tab/>
        <w:t>Other nondiscretionary cost or savings imposed on local agencies: NONE</w:t>
      </w:r>
    </w:p>
    <w:p w14:paraId="1688C336" w14:textId="77777777" w:rsidR="0056561D" w:rsidRDefault="00016F4E" w:rsidP="0056561D">
      <w:pPr>
        <w:rPr>
          <w:rFonts w:ascii="Arial" w:hAnsi="Arial" w:cs="Arial"/>
          <w:sz w:val="24"/>
          <w:szCs w:val="24"/>
        </w:rPr>
      </w:pPr>
      <w:r w:rsidRPr="009B3132">
        <w:rPr>
          <w:rFonts w:ascii="Arial" w:hAnsi="Arial" w:cs="Arial"/>
          <w:sz w:val="24"/>
          <w:szCs w:val="24"/>
        </w:rPr>
        <w:t>E</w:t>
      </w:r>
      <w:r w:rsidR="0056561D" w:rsidRPr="009B3132">
        <w:rPr>
          <w:rFonts w:ascii="Arial" w:hAnsi="Arial" w:cs="Arial"/>
          <w:sz w:val="24"/>
          <w:szCs w:val="24"/>
        </w:rPr>
        <w:t>.</w:t>
      </w:r>
      <w:r w:rsidR="0056561D" w:rsidRPr="009B3132">
        <w:rPr>
          <w:rFonts w:ascii="Arial" w:hAnsi="Arial" w:cs="Arial"/>
          <w:sz w:val="24"/>
          <w:szCs w:val="24"/>
        </w:rPr>
        <w:tab/>
        <w:t>Cost or savings in federal funding to the state: NONE</w:t>
      </w:r>
    </w:p>
    <w:p w14:paraId="17B5BCD8" w14:textId="77777777" w:rsidR="00AE52DC" w:rsidRDefault="00AE52DC" w:rsidP="0056561D">
      <w:pPr>
        <w:rPr>
          <w:rFonts w:ascii="Arial" w:hAnsi="Arial" w:cs="Arial"/>
          <w:sz w:val="24"/>
          <w:szCs w:val="24"/>
        </w:rPr>
      </w:pPr>
    </w:p>
    <w:p w14:paraId="321A7639" w14:textId="77777777" w:rsidR="00AE52DC" w:rsidRPr="009B3132" w:rsidRDefault="00AE52DC" w:rsidP="0056561D">
      <w:pPr>
        <w:rPr>
          <w:rFonts w:ascii="Arial" w:hAnsi="Arial" w:cs="Arial"/>
          <w:sz w:val="24"/>
          <w:szCs w:val="24"/>
        </w:rPr>
      </w:pPr>
    </w:p>
    <w:p w14:paraId="3C3634AF"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STATEMENT OF CONFIRMATION OF</w:t>
      </w:r>
    </w:p>
    <w:p w14:paraId="068FFE76" w14:textId="77777777" w:rsidR="0056561D" w:rsidRPr="009B3132" w:rsidRDefault="0056561D" w:rsidP="00016F4E">
      <w:pPr>
        <w:spacing w:after="0" w:line="240" w:lineRule="auto"/>
        <w:jc w:val="center"/>
        <w:rPr>
          <w:rFonts w:ascii="Arial" w:hAnsi="Arial" w:cs="Arial"/>
          <w:b/>
          <w:sz w:val="24"/>
          <w:szCs w:val="24"/>
        </w:rPr>
      </w:pPr>
      <w:r w:rsidRPr="009B3132">
        <w:rPr>
          <w:rFonts w:ascii="Arial" w:hAnsi="Arial" w:cs="Arial"/>
          <w:b/>
          <w:sz w:val="24"/>
          <w:szCs w:val="24"/>
        </w:rPr>
        <w:t>MAILING OF FIVE-DAY EMERGENCY NOTICE</w:t>
      </w:r>
    </w:p>
    <w:p w14:paraId="5D21A306" w14:textId="77777777" w:rsidR="0056561D" w:rsidRPr="009B3132" w:rsidRDefault="0056561D" w:rsidP="00016F4E">
      <w:pPr>
        <w:spacing w:after="0" w:line="240" w:lineRule="auto"/>
        <w:jc w:val="center"/>
        <w:rPr>
          <w:rFonts w:ascii="Arial" w:hAnsi="Arial" w:cs="Arial"/>
          <w:sz w:val="24"/>
          <w:szCs w:val="24"/>
        </w:rPr>
      </w:pPr>
      <w:r w:rsidRPr="009B3132">
        <w:rPr>
          <w:rFonts w:ascii="Arial" w:hAnsi="Arial" w:cs="Arial"/>
          <w:sz w:val="24"/>
          <w:szCs w:val="24"/>
        </w:rPr>
        <w:t>(Title 1, CCR section 50(a)(5)(A))</w:t>
      </w:r>
    </w:p>
    <w:p w14:paraId="6E77F2D2" w14:textId="77777777" w:rsidR="00016F4E" w:rsidRPr="009B3132" w:rsidRDefault="00016F4E" w:rsidP="00016F4E">
      <w:pPr>
        <w:spacing w:after="0" w:line="240" w:lineRule="auto"/>
        <w:rPr>
          <w:rFonts w:ascii="Arial" w:hAnsi="Arial" w:cs="Arial"/>
          <w:sz w:val="24"/>
          <w:szCs w:val="24"/>
        </w:rPr>
      </w:pPr>
    </w:p>
    <w:p w14:paraId="0AAB53BC" w14:textId="77777777" w:rsidR="00C773B4" w:rsidRPr="009B3132" w:rsidRDefault="0056561D" w:rsidP="00016F4E">
      <w:pPr>
        <w:spacing w:after="0" w:line="240" w:lineRule="auto"/>
        <w:rPr>
          <w:rFonts w:ascii="Arial" w:hAnsi="Arial" w:cs="Arial"/>
          <w:sz w:val="24"/>
          <w:szCs w:val="24"/>
        </w:rPr>
      </w:pPr>
      <w:r w:rsidRPr="009B3132">
        <w:rPr>
          <w:rFonts w:ascii="Arial" w:hAnsi="Arial" w:cs="Arial"/>
          <w:sz w:val="24"/>
          <w:szCs w:val="24"/>
        </w:rPr>
        <w:t>The Division of Workers’ Compensation sent notice of the proposed emergency action to every person who has filed a request for notice of regulatory action at least five working days before submitting the emergency regulations to the Office of Administrative Law in accordance with the requirements of Government Code section 11346.1(a)(2).</w:t>
      </w:r>
    </w:p>
    <w:sectPr w:rsidR="00C773B4" w:rsidRPr="009B313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ADEF" w14:textId="77777777" w:rsidR="00AF6EE3" w:rsidRDefault="00AF6EE3" w:rsidP="00A801EE">
      <w:pPr>
        <w:spacing w:after="0" w:line="240" w:lineRule="auto"/>
      </w:pPr>
      <w:r>
        <w:separator/>
      </w:r>
    </w:p>
  </w:endnote>
  <w:endnote w:type="continuationSeparator" w:id="0">
    <w:p w14:paraId="155E8958" w14:textId="77777777" w:rsidR="00AF6EE3" w:rsidRDefault="00AF6EE3" w:rsidP="00A8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6543" w14:textId="77777777" w:rsidR="00E36C21" w:rsidRPr="00767437" w:rsidRDefault="00767437" w:rsidP="00767437">
    <w:pPr>
      <w:pStyle w:val="Footer"/>
    </w:pPr>
    <w:r>
      <w:t xml:space="preserve">Finding of Emergency – </w:t>
    </w:r>
    <w:r w:rsidR="001C1015">
      <w:t xml:space="preserve">QME Emergency </w:t>
    </w:r>
    <w:r w:rsidR="003840A5">
      <w:t>COVID-</w:t>
    </w:r>
    <w:r w:rsidR="001C1015">
      <w:t>19 Regulations</w:t>
    </w:r>
    <w:r>
      <w:t xml:space="preserve">; </w:t>
    </w:r>
    <w:r w:rsidR="00310314">
      <w:t>December</w:t>
    </w:r>
    <w:r w:rsidR="00E649A8">
      <w:t xml:space="preserve"> 2021</w:t>
    </w:r>
    <w:r>
      <w:tab/>
    </w:r>
    <w:r>
      <w:fldChar w:fldCharType="begin"/>
    </w:r>
    <w:r>
      <w:instrText xml:space="preserve"> PAGE   \* MERGEFORMAT </w:instrText>
    </w:r>
    <w:r>
      <w:fldChar w:fldCharType="separate"/>
    </w:r>
    <w:r w:rsidR="00ED77F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2B15" w14:textId="77777777" w:rsidR="00AF6EE3" w:rsidRDefault="00AF6EE3" w:rsidP="00A801EE">
      <w:pPr>
        <w:spacing w:after="0" w:line="240" w:lineRule="auto"/>
      </w:pPr>
      <w:r>
        <w:separator/>
      </w:r>
    </w:p>
  </w:footnote>
  <w:footnote w:type="continuationSeparator" w:id="0">
    <w:p w14:paraId="16734E48" w14:textId="77777777" w:rsidR="00AF6EE3" w:rsidRDefault="00AF6EE3" w:rsidP="00A80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0539C"/>
    <w:multiLevelType w:val="hybridMultilevel"/>
    <w:tmpl w:val="A50EA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9A7"/>
    <w:multiLevelType w:val="hybridMultilevel"/>
    <w:tmpl w:val="80CA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651BF"/>
    <w:multiLevelType w:val="hybridMultilevel"/>
    <w:tmpl w:val="C4E0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112FF5"/>
    <w:multiLevelType w:val="hybridMultilevel"/>
    <w:tmpl w:val="B076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66824"/>
    <w:multiLevelType w:val="hybridMultilevel"/>
    <w:tmpl w:val="E96A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7B7CD8"/>
    <w:multiLevelType w:val="hybridMultilevel"/>
    <w:tmpl w:val="F454F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DE1427"/>
    <w:multiLevelType w:val="hybridMultilevel"/>
    <w:tmpl w:val="493E2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B7A08"/>
    <w:multiLevelType w:val="hybridMultilevel"/>
    <w:tmpl w:val="9F5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2D12EC"/>
    <w:multiLevelType w:val="hybridMultilevel"/>
    <w:tmpl w:val="8F7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B5AE7"/>
    <w:multiLevelType w:val="hybridMultilevel"/>
    <w:tmpl w:val="0C8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E1B56"/>
    <w:multiLevelType w:val="hybridMultilevel"/>
    <w:tmpl w:val="33743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B2ACE"/>
    <w:multiLevelType w:val="hybridMultilevel"/>
    <w:tmpl w:val="D996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34C02"/>
    <w:multiLevelType w:val="hybridMultilevel"/>
    <w:tmpl w:val="6B68F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87BFE"/>
    <w:multiLevelType w:val="hybridMultilevel"/>
    <w:tmpl w:val="CCC65C98"/>
    <w:lvl w:ilvl="0" w:tplc="C0CC0204">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773E7"/>
    <w:multiLevelType w:val="hybridMultilevel"/>
    <w:tmpl w:val="8E64F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664E7E"/>
    <w:multiLevelType w:val="hybridMultilevel"/>
    <w:tmpl w:val="163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C06147"/>
    <w:multiLevelType w:val="hybridMultilevel"/>
    <w:tmpl w:val="35A66C3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C561F9"/>
    <w:multiLevelType w:val="hybridMultilevel"/>
    <w:tmpl w:val="9C2AA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92771"/>
    <w:multiLevelType w:val="hybridMultilevel"/>
    <w:tmpl w:val="76AE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57C9C"/>
    <w:multiLevelType w:val="hybridMultilevel"/>
    <w:tmpl w:val="8720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685FEB"/>
    <w:multiLevelType w:val="hybridMultilevel"/>
    <w:tmpl w:val="EFBA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992FB0"/>
    <w:multiLevelType w:val="hybridMultilevel"/>
    <w:tmpl w:val="67F6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F58E4"/>
    <w:multiLevelType w:val="hybridMultilevel"/>
    <w:tmpl w:val="294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80059"/>
    <w:multiLevelType w:val="hybridMultilevel"/>
    <w:tmpl w:val="FB34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0D051E"/>
    <w:multiLevelType w:val="hybridMultilevel"/>
    <w:tmpl w:val="E7DEE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423337"/>
    <w:multiLevelType w:val="hybridMultilevel"/>
    <w:tmpl w:val="FD6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8B6B6C"/>
    <w:multiLevelType w:val="hybridMultilevel"/>
    <w:tmpl w:val="E8582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28CD"/>
    <w:multiLevelType w:val="hybridMultilevel"/>
    <w:tmpl w:val="02A6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19"/>
  </w:num>
  <w:num w:numId="4">
    <w:abstractNumId w:val="14"/>
  </w:num>
  <w:num w:numId="5">
    <w:abstractNumId w:val="24"/>
  </w:num>
  <w:num w:numId="6">
    <w:abstractNumId w:val="15"/>
  </w:num>
  <w:num w:numId="7">
    <w:abstractNumId w:val="18"/>
  </w:num>
  <w:num w:numId="8">
    <w:abstractNumId w:val="12"/>
  </w:num>
  <w:num w:numId="9">
    <w:abstractNumId w:val="2"/>
  </w:num>
  <w:num w:numId="10">
    <w:abstractNumId w:val="7"/>
  </w:num>
  <w:num w:numId="11">
    <w:abstractNumId w:val="22"/>
  </w:num>
  <w:num w:numId="12">
    <w:abstractNumId w:val="1"/>
  </w:num>
  <w:num w:numId="13">
    <w:abstractNumId w:val="5"/>
  </w:num>
  <w:num w:numId="14">
    <w:abstractNumId w:val="6"/>
  </w:num>
  <w:num w:numId="15">
    <w:abstractNumId w:val="3"/>
  </w:num>
  <w:num w:numId="16">
    <w:abstractNumId w:val="10"/>
  </w:num>
  <w:num w:numId="17">
    <w:abstractNumId w:val="21"/>
  </w:num>
  <w:num w:numId="18">
    <w:abstractNumId w:val="20"/>
  </w:num>
  <w:num w:numId="19">
    <w:abstractNumId w:val="4"/>
  </w:num>
  <w:num w:numId="20">
    <w:abstractNumId w:val="8"/>
  </w:num>
  <w:num w:numId="21">
    <w:abstractNumId w:val="23"/>
  </w:num>
  <w:num w:numId="22">
    <w:abstractNumId w:val="26"/>
  </w:num>
  <w:num w:numId="23">
    <w:abstractNumId w:val="17"/>
  </w:num>
  <w:num w:numId="24">
    <w:abstractNumId w:val="0"/>
  </w:num>
  <w:num w:numId="25">
    <w:abstractNumId w:val="27"/>
  </w:num>
  <w:num w:numId="26">
    <w:abstractNumId w:val="27"/>
  </w:num>
  <w:num w:numId="27">
    <w:abstractNumId w:val="25"/>
  </w:num>
  <w:num w:numId="28">
    <w:abstractNumId w:val="13"/>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61D"/>
    <w:rsid w:val="00016F4E"/>
    <w:rsid w:val="00024136"/>
    <w:rsid w:val="0003055C"/>
    <w:rsid w:val="0004185C"/>
    <w:rsid w:val="00054A60"/>
    <w:rsid w:val="00072721"/>
    <w:rsid w:val="000730A4"/>
    <w:rsid w:val="000750EA"/>
    <w:rsid w:val="00075609"/>
    <w:rsid w:val="000A7B1B"/>
    <w:rsid w:val="000C5D3D"/>
    <w:rsid w:val="000E4ADC"/>
    <w:rsid w:val="000F4C28"/>
    <w:rsid w:val="000F6818"/>
    <w:rsid w:val="00125383"/>
    <w:rsid w:val="001A140A"/>
    <w:rsid w:val="001A4CC5"/>
    <w:rsid w:val="001B2404"/>
    <w:rsid w:val="001C1015"/>
    <w:rsid w:val="001F42CB"/>
    <w:rsid w:val="001F7E2B"/>
    <w:rsid w:val="00202852"/>
    <w:rsid w:val="002128B9"/>
    <w:rsid w:val="00214AA6"/>
    <w:rsid w:val="00217D4A"/>
    <w:rsid w:val="002211B1"/>
    <w:rsid w:val="002231A6"/>
    <w:rsid w:val="0022689A"/>
    <w:rsid w:val="002728CC"/>
    <w:rsid w:val="002A2A56"/>
    <w:rsid w:val="002C188A"/>
    <w:rsid w:val="00310314"/>
    <w:rsid w:val="003157EA"/>
    <w:rsid w:val="00331D6E"/>
    <w:rsid w:val="00336D6F"/>
    <w:rsid w:val="00340646"/>
    <w:rsid w:val="003840A5"/>
    <w:rsid w:val="003A3B22"/>
    <w:rsid w:val="003B1BF5"/>
    <w:rsid w:val="003B3EE0"/>
    <w:rsid w:val="003C6F83"/>
    <w:rsid w:val="003D3A2B"/>
    <w:rsid w:val="003D61FF"/>
    <w:rsid w:val="004153DD"/>
    <w:rsid w:val="00436B35"/>
    <w:rsid w:val="0045219D"/>
    <w:rsid w:val="00494DCA"/>
    <w:rsid w:val="004E5DF7"/>
    <w:rsid w:val="004F4BBC"/>
    <w:rsid w:val="005042B3"/>
    <w:rsid w:val="00510029"/>
    <w:rsid w:val="005448AD"/>
    <w:rsid w:val="0056561D"/>
    <w:rsid w:val="00577F26"/>
    <w:rsid w:val="0058594F"/>
    <w:rsid w:val="005D23F0"/>
    <w:rsid w:val="005D26DC"/>
    <w:rsid w:val="005F4DDB"/>
    <w:rsid w:val="006300A7"/>
    <w:rsid w:val="006470F0"/>
    <w:rsid w:val="00667C00"/>
    <w:rsid w:val="006718ED"/>
    <w:rsid w:val="00676B2D"/>
    <w:rsid w:val="006A7EF5"/>
    <w:rsid w:val="006B50F3"/>
    <w:rsid w:val="006E2C27"/>
    <w:rsid w:val="006E5E56"/>
    <w:rsid w:val="006F70B2"/>
    <w:rsid w:val="00705748"/>
    <w:rsid w:val="007059D8"/>
    <w:rsid w:val="00713283"/>
    <w:rsid w:val="0072100F"/>
    <w:rsid w:val="0072734D"/>
    <w:rsid w:val="00767437"/>
    <w:rsid w:val="00786084"/>
    <w:rsid w:val="00790CB3"/>
    <w:rsid w:val="007C0634"/>
    <w:rsid w:val="007D0E13"/>
    <w:rsid w:val="007D4B48"/>
    <w:rsid w:val="007D5045"/>
    <w:rsid w:val="007F5A3D"/>
    <w:rsid w:val="0081643F"/>
    <w:rsid w:val="00832794"/>
    <w:rsid w:val="0085154A"/>
    <w:rsid w:val="0086191C"/>
    <w:rsid w:val="00897589"/>
    <w:rsid w:val="008A5F11"/>
    <w:rsid w:val="008B56EC"/>
    <w:rsid w:val="008C55B4"/>
    <w:rsid w:val="0090268A"/>
    <w:rsid w:val="00910442"/>
    <w:rsid w:val="00911C9E"/>
    <w:rsid w:val="0091295C"/>
    <w:rsid w:val="009271DC"/>
    <w:rsid w:val="00927C31"/>
    <w:rsid w:val="009442FF"/>
    <w:rsid w:val="0096472D"/>
    <w:rsid w:val="00966CF1"/>
    <w:rsid w:val="00975B45"/>
    <w:rsid w:val="009778DF"/>
    <w:rsid w:val="00980ACE"/>
    <w:rsid w:val="00997926"/>
    <w:rsid w:val="009B3132"/>
    <w:rsid w:val="009B3199"/>
    <w:rsid w:val="009B33E4"/>
    <w:rsid w:val="009E484D"/>
    <w:rsid w:val="00A062D8"/>
    <w:rsid w:val="00A06AF8"/>
    <w:rsid w:val="00A16F4B"/>
    <w:rsid w:val="00A523FD"/>
    <w:rsid w:val="00A643D0"/>
    <w:rsid w:val="00A801EE"/>
    <w:rsid w:val="00AB2C84"/>
    <w:rsid w:val="00AB5AF8"/>
    <w:rsid w:val="00AC3177"/>
    <w:rsid w:val="00AD209D"/>
    <w:rsid w:val="00AE52DC"/>
    <w:rsid w:val="00AF6EE3"/>
    <w:rsid w:val="00B33186"/>
    <w:rsid w:val="00B51EA7"/>
    <w:rsid w:val="00B72C78"/>
    <w:rsid w:val="00B97B1D"/>
    <w:rsid w:val="00BA1044"/>
    <w:rsid w:val="00BF61FA"/>
    <w:rsid w:val="00C75D13"/>
    <w:rsid w:val="00C773B4"/>
    <w:rsid w:val="00C849DD"/>
    <w:rsid w:val="00C8759B"/>
    <w:rsid w:val="00CA3275"/>
    <w:rsid w:val="00CB06C5"/>
    <w:rsid w:val="00CB085F"/>
    <w:rsid w:val="00CB4D72"/>
    <w:rsid w:val="00CE2940"/>
    <w:rsid w:val="00D13E93"/>
    <w:rsid w:val="00D22EED"/>
    <w:rsid w:val="00D3203E"/>
    <w:rsid w:val="00D3313B"/>
    <w:rsid w:val="00D33736"/>
    <w:rsid w:val="00D55F67"/>
    <w:rsid w:val="00D702AD"/>
    <w:rsid w:val="00D939E2"/>
    <w:rsid w:val="00DA29C6"/>
    <w:rsid w:val="00DB3FD0"/>
    <w:rsid w:val="00DD520E"/>
    <w:rsid w:val="00DF7C67"/>
    <w:rsid w:val="00E10C70"/>
    <w:rsid w:val="00E32C5C"/>
    <w:rsid w:val="00E36C21"/>
    <w:rsid w:val="00E376D3"/>
    <w:rsid w:val="00E649A8"/>
    <w:rsid w:val="00E86F4F"/>
    <w:rsid w:val="00E9206B"/>
    <w:rsid w:val="00EA2BE4"/>
    <w:rsid w:val="00EC592D"/>
    <w:rsid w:val="00ED2C53"/>
    <w:rsid w:val="00ED77F1"/>
    <w:rsid w:val="00EE7533"/>
    <w:rsid w:val="00EF39F5"/>
    <w:rsid w:val="00EF555A"/>
    <w:rsid w:val="00F02489"/>
    <w:rsid w:val="00F10078"/>
    <w:rsid w:val="00F339BD"/>
    <w:rsid w:val="00F72C4D"/>
    <w:rsid w:val="00F737C5"/>
    <w:rsid w:val="00F73B9A"/>
    <w:rsid w:val="00F82600"/>
    <w:rsid w:val="00F90479"/>
    <w:rsid w:val="00FC698C"/>
    <w:rsid w:val="00FE12A9"/>
    <w:rsid w:val="00FF0C88"/>
    <w:rsid w:val="00FF1C04"/>
    <w:rsid w:val="00FF283C"/>
    <w:rsid w:val="00FF3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1BE7B83"/>
  <w15:chartTrackingRefBased/>
  <w15:docId w15:val="{242A44F6-C936-4D10-B132-9DBD44FB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BE4"/>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801EE"/>
    <w:pPr>
      <w:tabs>
        <w:tab w:val="center" w:pos="4680"/>
        <w:tab w:val="right" w:pos="9360"/>
      </w:tabs>
    </w:pPr>
  </w:style>
  <w:style w:type="character" w:customStyle="1" w:styleId="HeaderChar">
    <w:name w:val="Header Char"/>
    <w:link w:val="Header"/>
    <w:uiPriority w:val="99"/>
    <w:rsid w:val="00A801EE"/>
    <w:rPr>
      <w:sz w:val="22"/>
      <w:szCs w:val="22"/>
    </w:rPr>
  </w:style>
  <w:style w:type="paragraph" w:styleId="Footer">
    <w:name w:val="footer"/>
    <w:basedOn w:val="Normal"/>
    <w:link w:val="FooterChar"/>
    <w:uiPriority w:val="99"/>
    <w:unhideWhenUsed/>
    <w:rsid w:val="00A801EE"/>
    <w:pPr>
      <w:tabs>
        <w:tab w:val="center" w:pos="4680"/>
        <w:tab w:val="right" w:pos="9360"/>
      </w:tabs>
    </w:pPr>
  </w:style>
  <w:style w:type="character" w:customStyle="1" w:styleId="FooterChar">
    <w:name w:val="Footer Char"/>
    <w:link w:val="Footer"/>
    <w:uiPriority w:val="99"/>
    <w:rsid w:val="00A801EE"/>
    <w:rPr>
      <w:sz w:val="22"/>
      <w:szCs w:val="22"/>
    </w:rPr>
  </w:style>
  <w:style w:type="character" w:styleId="CommentReference">
    <w:name w:val="annotation reference"/>
    <w:uiPriority w:val="99"/>
    <w:semiHidden/>
    <w:unhideWhenUsed/>
    <w:rsid w:val="00911C9E"/>
    <w:rPr>
      <w:sz w:val="16"/>
      <w:szCs w:val="16"/>
    </w:rPr>
  </w:style>
  <w:style w:type="paragraph" w:styleId="CommentText">
    <w:name w:val="annotation text"/>
    <w:basedOn w:val="Normal"/>
    <w:link w:val="CommentTextChar"/>
    <w:uiPriority w:val="99"/>
    <w:semiHidden/>
    <w:unhideWhenUsed/>
    <w:rsid w:val="00911C9E"/>
    <w:rPr>
      <w:sz w:val="20"/>
      <w:szCs w:val="20"/>
    </w:rPr>
  </w:style>
  <w:style w:type="character" w:customStyle="1" w:styleId="CommentTextChar">
    <w:name w:val="Comment Text Char"/>
    <w:basedOn w:val="DefaultParagraphFont"/>
    <w:link w:val="CommentText"/>
    <w:uiPriority w:val="99"/>
    <w:semiHidden/>
    <w:rsid w:val="00911C9E"/>
  </w:style>
  <w:style w:type="paragraph" w:styleId="CommentSubject">
    <w:name w:val="annotation subject"/>
    <w:basedOn w:val="CommentText"/>
    <w:next w:val="CommentText"/>
    <w:link w:val="CommentSubjectChar"/>
    <w:uiPriority w:val="99"/>
    <w:semiHidden/>
    <w:unhideWhenUsed/>
    <w:rsid w:val="00911C9E"/>
    <w:rPr>
      <w:b/>
      <w:bCs/>
    </w:rPr>
  </w:style>
  <w:style w:type="character" w:customStyle="1" w:styleId="CommentSubjectChar">
    <w:name w:val="Comment Subject Char"/>
    <w:link w:val="CommentSubject"/>
    <w:uiPriority w:val="99"/>
    <w:semiHidden/>
    <w:rsid w:val="00911C9E"/>
    <w:rPr>
      <w:b/>
      <w:bCs/>
    </w:rPr>
  </w:style>
  <w:style w:type="paragraph" w:styleId="BalloonText">
    <w:name w:val="Balloon Text"/>
    <w:basedOn w:val="Normal"/>
    <w:link w:val="BalloonTextChar"/>
    <w:uiPriority w:val="99"/>
    <w:semiHidden/>
    <w:unhideWhenUsed/>
    <w:rsid w:val="00911C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11C9E"/>
    <w:rPr>
      <w:rFonts w:ascii="Tahoma" w:hAnsi="Tahoma" w:cs="Tahoma"/>
      <w:sz w:val="16"/>
      <w:szCs w:val="16"/>
    </w:rPr>
  </w:style>
  <w:style w:type="character" w:styleId="Hyperlink">
    <w:name w:val="Hyperlink"/>
    <w:uiPriority w:val="99"/>
    <w:unhideWhenUsed/>
    <w:rsid w:val="00C75D13"/>
    <w:rPr>
      <w:color w:val="0563C1"/>
      <w:u w:val="single"/>
    </w:rPr>
  </w:style>
  <w:style w:type="paragraph" w:customStyle="1" w:styleId="Default">
    <w:name w:val="Default"/>
    <w:rsid w:val="000E4ADC"/>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2128B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40794">
      <w:bodyDiv w:val="1"/>
      <w:marLeft w:val="0"/>
      <w:marRight w:val="0"/>
      <w:marTop w:val="0"/>
      <w:marBottom w:val="0"/>
      <w:divBdr>
        <w:top w:val="none" w:sz="0" w:space="0" w:color="auto"/>
        <w:left w:val="none" w:sz="0" w:space="0" w:color="auto"/>
        <w:bottom w:val="none" w:sz="0" w:space="0" w:color="auto"/>
        <w:right w:val="none" w:sz="0" w:space="0" w:color="auto"/>
      </w:divBdr>
      <w:divsChild>
        <w:div w:id="1889686786">
          <w:marLeft w:val="480"/>
          <w:marRight w:val="480"/>
          <w:marTop w:val="480"/>
          <w:marBottom w:val="480"/>
          <w:divBdr>
            <w:top w:val="none" w:sz="0" w:space="0" w:color="auto"/>
            <w:left w:val="none" w:sz="0" w:space="0" w:color="auto"/>
            <w:bottom w:val="none" w:sz="0" w:space="0" w:color="auto"/>
            <w:right w:val="none" w:sz="0" w:space="0" w:color="auto"/>
          </w:divBdr>
        </w:div>
      </w:divsChild>
    </w:div>
    <w:div w:id="199544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ca.gov/wp-content/uploads/2020/03/EO-N-33-20-COVID-19-HEALTH-ORDER-03.19.2020-00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ca.gov/wp-content/uploads/2020/04/4.3.20-EO-N-43-2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ca.gov/wp-content/uploads/2021/09/9.27.21-Telehealth-EO.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prevent-getting-sick/pre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5" ma:contentTypeDescription="Create a new document." ma:contentTypeScope="" ma:versionID="c7c097f20966257ceaaae1cf551be7bc">
  <xsd:schema xmlns:xsd="http://www.w3.org/2001/XMLSchema" xmlns:xs="http://www.w3.org/2001/XMLSchema" xmlns:p="http://schemas.microsoft.com/office/2006/metadata/properties" xmlns:ns3="0d47a867-ae85-4f49-9693-a9c2c55e8dca" targetNamespace="http://schemas.microsoft.com/office/2006/metadata/properties" ma:root="true" ma:fieldsID="6049ea69d658d62b7ee6a37fc3bfd65a"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48B8-30ED-4A39-BFB1-6C5D004CB0E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0d47a867-ae85-4f49-9693-a9c2c55e8dc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F226B8E-8B25-44FC-97C8-5C3803946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ED38B-2C30-4895-AF3E-D7F73570BFBC}">
  <ds:schemaRefs>
    <ds:schemaRef ds:uri="http://schemas.microsoft.com/sharepoint/v3/contenttype/forms"/>
  </ds:schemaRefs>
</ds:datastoreItem>
</file>

<file path=customXml/itemProps4.xml><?xml version="1.0" encoding="utf-8"?>
<ds:datastoreItem xmlns:ds="http://schemas.openxmlformats.org/officeDocument/2006/customXml" ds:itemID="{1A272C28-080A-4E5E-B3B1-C4F3CA23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1532</Words>
  <Characters>8738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10250</CharactersWithSpaces>
  <SharedDoc>false</SharedDoc>
  <HLinks>
    <vt:vector size="24" baseType="variant">
      <vt:variant>
        <vt:i4>8192044</vt:i4>
      </vt:variant>
      <vt:variant>
        <vt:i4>9</vt:i4>
      </vt:variant>
      <vt:variant>
        <vt:i4>0</vt:i4>
      </vt:variant>
      <vt:variant>
        <vt:i4>5</vt:i4>
      </vt:variant>
      <vt:variant>
        <vt:lpwstr>https://www.cdc.gov/coronavirus/2019-ncov/prevent-getting-sick/prevention.html</vt:lpwstr>
      </vt:variant>
      <vt:variant>
        <vt:lpwstr/>
      </vt:variant>
      <vt:variant>
        <vt:i4>1572936</vt:i4>
      </vt:variant>
      <vt:variant>
        <vt:i4>6</vt:i4>
      </vt:variant>
      <vt:variant>
        <vt:i4>0</vt:i4>
      </vt:variant>
      <vt:variant>
        <vt:i4>5</vt:i4>
      </vt:variant>
      <vt:variant>
        <vt:lpwstr>https://www.gov.ca.gov/wp-content/uploads/2020/03/EO-N-33-20-COVID-19-HEALTH-ORDER-03.19.2020-002.pdf</vt:lpwstr>
      </vt:variant>
      <vt:variant>
        <vt:lpwstr/>
      </vt:variant>
      <vt:variant>
        <vt:i4>2883680</vt:i4>
      </vt:variant>
      <vt:variant>
        <vt:i4>3</vt:i4>
      </vt:variant>
      <vt:variant>
        <vt:i4>0</vt:i4>
      </vt:variant>
      <vt:variant>
        <vt:i4>5</vt:i4>
      </vt:variant>
      <vt:variant>
        <vt:lpwstr>https://www.gov.ca.gov/wp-content/uploads/2020/04/4.3.20-EO-N-43-20.pdf</vt:lpwstr>
      </vt:variant>
      <vt:variant>
        <vt:lpwstr/>
      </vt:variant>
      <vt:variant>
        <vt:i4>8061038</vt:i4>
      </vt:variant>
      <vt:variant>
        <vt:i4>0</vt:i4>
      </vt:variant>
      <vt:variant>
        <vt:i4>0</vt:i4>
      </vt:variant>
      <vt:variant>
        <vt:i4>5</vt:i4>
      </vt:variant>
      <vt:variant>
        <vt:lpwstr>https://www.gov.ca.gov/wp-content/uploads/2021/09/9.27.21-Telehealth-EO.pdf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Ellen Langille</cp:lastModifiedBy>
  <cp:revision>2</cp:revision>
  <cp:lastPrinted>2016-12-12T19:49:00Z</cp:lastPrinted>
  <dcterms:created xsi:type="dcterms:W3CDTF">2021-12-20T23:50:00Z</dcterms:created>
  <dcterms:modified xsi:type="dcterms:W3CDTF">2021-12-20T23:50:00Z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